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2214" w14:textId="77777777" w:rsidR="001856D1" w:rsidRDefault="001856D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628"/>
        <w:gridCol w:w="8684"/>
      </w:tblGrid>
      <w:tr w:rsidR="001856D1" w14:paraId="2B3A94C1" w14:textId="77777777">
        <w:trPr>
          <w:trHeight w:val="588"/>
        </w:trPr>
        <w:tc>
          <w:tcPr>
            <w:tcW w:w="9312" w:type="dxa"/>
            <w:gridSpan w:val="2"/>
          </w:tcPr>
          <w:p w14:paraId="43C1FDE8" w14:textId="77777777" w:rsidR="001856D1" w:rsidRDefault="001856D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436804E" w14:textId="77777777" w:rsidR="001856D1" w:rsidRDefault="0000000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ORIENTAÇÕES PARA FORMALIZAÇÃO DE PROCESSO PARA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ADESÃO TARDIA A ATA DE REGISTRO DE PREÇOS “CARONA”</w:t>
            </w:r>
          </w:p>
          <w:p w14:paraId="39E4EDB4" w14:textId="77777777" w:rsidR="001856D1" w:rsidRDefault="001856D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E7FE32A" w14:textId="77777777" w:rsidR="001856D1" w:rsidRDefault="001856D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56D1" w14:paraId="5E096769" w14:textId="77777777">
        <w:trPr>
          <w:trHeight w:val="397"/>
        </w:trPr>
        <w:tc>
          <w:tcPr>
            <w:tcW w:w="628" w:type="dxa"/>
            <w:shd w:val="clear" w:color="auto" w:fill="D6E3BC" w:themeFill="accent3" w:themeFillTint="66"/>
            <w:vAlign w:val="center"/>
          </w:tcPr>
          <w:p w14:paraId="0169896F" w14:textId="77777777" w:rsidR="001856D1" w:rsidRDefault="0000000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Item</w:t>
            </w:r>
          </w:p>
        </w:tc>
        <w:tc>
          <w:tcPr>
            <w:tcW w:w="8684" w:type="dxa"/>
            <w:shd w:val="clear" w:color="auto" w:fill="D6E3BC" w:themeFill="accent3" w:themeFillTint="66"/>
            <w:vAlign w:val="center"/>
          </w:tcPr>
          <w:p w14:paraId="48CA0838" w14:textId="77777777" w:rsidR="001856D1" w:rsidRDefault="001856D1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9AA1C39" w14:textId="77777777" w:rsidR="001856D1" w:rsidRDefault="0000000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</w:tr>
      <w:tr w:rsidR="001856D1" w14:paraId="46066F04" w14:textId="77777777">
        <w:trPr>
          <w:trHeight w:val="283"/>
        </w:trPr>
        <w:tc>
          <w:tcPr>
            <w:tcW w:w="628" w:type="dxa"/>
            <w:shd w:val="clear" w:color="auto" w:fill="EAF1DD" w:themeFill="accent3" w:themeFillTint="33"/>
            <w:vAlign w:val="bottom"/>
          </w:tcPr>
          <w:p w14:paraId="29D10388" w14:textId="77777777" w:rsidR="001856D1" w:rsidRDefault="001856D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84" w:type="dxa"/>
            <w:shd w:val="clear" w:color="auto" w:fill="EAF1DD" w:themeFill="accent3" w:themeFillTint="33"/>
            <w:vAlign w:val="bottom"/>
          </w:tcPr>
          <w:p w14:paraId="528150D2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FASE INTERNA</w:t>
            </w:r>
          </w:p>
        </w:tc>
      </w:tr>
      <w:tr w:rsidR="001856D1" w14:paraId="556FD132" w14:textId="77777777">
        <w:trPr>
          <w:trHeight w:val="284"/>
        </w:trPr>
        <w:tc>
          <w:tcPr>
            <w:tcW w:w="628" w:type="dxa"/>
            <w:vAlign w:val="center"/>
          </w:tcPr>
          <w:p w14:paraId="7FDDC76A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84" w:type="dxa"/>
            <w:vAlign w:val="bottom"/>
          </w:tcPr>
          <w:p w14:paraId="7A381AFA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Abertura de processo administrativo devidamente autuado, protocolado e numerado.</w:t>
            </w:r>
          </w:p>
        </w:tc>
      </w:tr>
      <w:tr w:rsidR="001856D1" w14:paraId="1CD64221" w14:textId="77777777">
        <w:trPr>
          <w:trHeight w:val="284"/>
        </w:trPr>
        <w:tc>
          <w:tcPr>
            <w:tcW w:w="628" w:type="dxa"/>
            <w:vAlign w:val="center"/>
          </w:tcPr>
          <w:p w14:paraId="3DB9460D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684" w:type="dxa"/>
            <w:vAlign w:val="bottom"/>
          </w:tcPr>
          <w:p w14:paraId="07C1473A" w14:textId="5EB2AECB" w:rsidR="001856D1" w:rsidRDefault="00000000">
            <w:pPr>
              <w:rPr>
                <w:rFonts w:ascii="Calibri" w:hAnsi="Calibri" w:cs="Calibri"/>
                <w:sz w:val="16"/>
                <w:szCs w:val="16"/>
              </w:rPr>
            </w:pPr>
            <w:hyperlink r:id="rId8" w:history="1">
              <w:r w:rsidR="008F22D4" w:rsidRPr="008F22D4">
                <w:rPr>
                  <w:rStyle w:val="Hyperlink"/>
                  <w:rFonts w:ascii="Calibri" w:hAnsi="Calibri" w:cs="Calibri"/>
                  <w:sz w:val="20"/>
                  <w:szCs w:val="20"/>
                </w:rPr>
                <w:t>Despacho solicitando a autorização de abertura de processo para contratação, Portaria.</w:t>
              </w:r>
            </w:hyperlink>
          </w:p>
        </w:tc>
      </w:tr>
      <w:tr w:rsidR="001856D1" w14:paraId="2DD33B9F" w14:textId="77777777">
        <w:trPr>
          <w:trHeight w:val="480"/>
        </w:trPr>
        <w:tc>
          <w:tcPr>
            <w:tcW w:w="628" w:type="dxa"/>
            <w:vAlign w:val="center"/>
          </w:tcPr>
          <w:p w14:paraId="62B3BF75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684" w:type="dxa"/>
            <w:vAlign w:val="bottom"/>
          </w:tcPr>
          <w:p w14:paraId="24C4D2AF" w14:textId="6BD8C0BB" w:rsidR="001856D1" w:rsidRDefault="00F4005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9" w:history="1">
              <w:r w:rsidR="00000000" w:rsidRPr="00F40058">
                <w:rPr>
                  <w:rStyle w:val="Hyperlink"/>
                  <w:rFonts w:ascii="Calibri" w:hAnsi="Calibri" w:cs="Calibri"/>
                  <w:sz w:val="20"/>
                  <w:szCs w:val="20"/>
                </w:rPr>
                <w:t>Documento de Formalização de Demanda, elaborado pelo agente ou setor competente</w:t>
              </w:r>
            </w:hyperlink>
          </w:p>
        </w:tc>
      </w:tr>
      <w:tr w:rsidR="001856D1" w14:paraId="0335933A" w14:textId="77777777">
        <w:trPr>
          <w:trHeight w:val="730"/>
        </w:trPr>
        <w:tc>
          <w:tcPr>
            <w:tcW w:w="628" w:type="dxa"/>
            <w:vAlign w:val="center"/>
          </w:tcPr>
          <w:p w14:paraId="1BA31782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684" w:type="dxa"/>
            <w:vAlign w:val="bottom"/>
          </w:tcPr>
          <w:p w14:paraId="5AC99A69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Incluir justificativa fundamentada dos quantitativos (bens/serviços) requisitados, tais como demonstrativo de consumo dos exercícios anteriores, relatórios do almoxarifado e/ou outros dados objetivos que demonstrem o dimensionamento adequado da aquisição/contratação.</w:t>
            </w:r>
          </w:p>
        </w:tc>
      </w:tr>
      <w:tr w:rsidR="001856D1" w14:paraId="0BE0D8F2" w14:textId="77777777">
        <w:trPr>
          <w:trHeight w:val="730"/>
        </w:trPr>
        <w:tc>
          <w:tcPr>
            <w:tcW w:w="628" w:type="dxa"/>
            <w:vAlign w:val="center"/>
          </w:tcPr>
          <w:p w14:paraId="395DCCD2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684" w:type="dxa"/>
            <w:vAlign w:val="bottom"/>
          </w:tcPr>
          <w:p w14:paraId="5E876955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 serviço ou bem registrado na Ata, deverá ser decorrente de licitação realizada pelo Sistema de Registro de Preços – SRP, promovida no âmbito da Administração Pública Federal direta, autárquica e fundacional, fundos especiais, empresas públicas, sociedades de economia mista e demais entidades controladas, direta ou indiretamente pela união.</w:t>
            </w:r>
          </w:p>
        </w:tc>
      </w:tr>
      <w:tr w:rsidR="001856D1" w14:paraId="0322D547" w14:textId="77777777">
        <w:trPr>
          <w:trHeight w:val="321"/>
        </w:trPr>
        <w:tc>
          <w:tcPr>
            <w:tcW w:w="628" w:type="dxa"/>
            <w:vAlign w:val="center"/>
          </w:tcPr>
          <w:p w14:paraId="4BEF6114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684" w:type="dxa"/>
            <w:vAlign w:val="bottom"/>
          </w:tcPr>
          <w:p w14:paraId="396C19B4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Deverá observar se edital do pregão para registro de preços admite a adesão à Ata.</w:t>
            </w:r>
          </w:p>
        </w:tc>
      </w:tr>
      <w:tr w:rsidR="001856D1" w14:paraId="157FB075" w14:textId="77777777">
        <w:trPr>
          <w:trHeight w:val="578"/>
        </w:trPr>
        <w:tc>
          <w:tcPr>
            <w:tcW w:w="628" w:type="dxa"/>
            <w:vAlign w:val="center"/>
          </w:tcPr>
          <w:p w14:paraId="6A5CB1D3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684" w:type="dxa"/>
            <w:vAlign w:val="bottom"/>
          </w:tcPr>
          <w:p w14:paraId="011ECBDE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Verificar se no edital do pregão para o registro de preços, consta o quantitativo reservado para as aquisições/serviços pelo órgão gerenciador, órgãos participantes e, também, pelos órgãos não participantes. </w:t>
            </w:r>
          </w:p>
        </w:tc>
      </w:tr>
      <w:tr w:rsidR="001856D1" w14:paraId="544E294A" w14:textId="77777777">
        <w:trPr>
          <w:trHeight w:val="578"/>
        </w:trPr>
        <w:tc>
          <w:tcPr>
            <w:tcW w:w="628" w:type="dxa"/>
            <w:vAlign w:val="center"/>
          </w:tcPr>
          <w:p w14:paraId="5EA143CE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684" w:type="dxa"/>
            <w:vAlign w:val="bottom"/>
          </w:tcPr>
          <w:p w14:paraId="6BB3303B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Designação formal da equipe de Planejamento da Contratação (portaria).</w:t>
            </w:r>
          </w:p>
        </w:tc>
      </w:tr>
      <w:tr w:rsidR="001856D1" w14:paraId="0B1347D0" w14:textId="77777777">
        <w:trPr>
          <w:trHeight w:val="578"/>
        </w:trPr>
        <w:tc>
          <w:tcPr>
            <w:tcW w:w="628" w:type="dxa"/>
            <w:vAlign w:val="center"/>
          </w:tcPr>
          <w:p w14:paraId="5592DE6A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684" w:type="dxa"/>
            <w:vAlign w:val="bottom"/>
          </w:tcPr>
          <w:p w14:paraId="7E6B5CE0" w14:textId="478B0C7B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2A1C8B" w:rsidRPr="002A1C8B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Estudos Técnico Preliminar</w:t>
              </w:r>
              <w:r w:rsidR="002A1C8B" w:rsidRPr="002A1C8B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(ETP)</w:t>
              </w:r>
            </w:hyperlink>
          </w:p>
          <w:p w14:paraId="77D6EB71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 incluir o ETP Digital no sistema</w:t>
            </w:r>
          </w:p>
        </w:tc>
      </w:tr>
      <w:tr w:rsidR="001856D1" w14:paraId="00E70354" w14:textId="77777777">
        <w:trPr>
          <w:trHeight w:val="434"/>
        </w:trPr>
        <w:tc>
          <w:tcPr>
            <w:tcW w:w="628" w:type="dxa"/>
            <w:vAlign w:val="center"/>
          </w:tcPr>
          <w:p w14:paraId="7DB6B07B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684" w:type="dxa"/>
            <w:vAlign w:val="bottom"/>
          </w:tcPr>
          <w:p w14:paraId="649D482E" w14:textId="35ACB455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1" w:history="1">
              <w:r w:rsidR="00476054" w:rsidRPr="00476054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Mapa de Riscos</w:t>
              </w:r>
              <w:r w:rsidR="00476054" w:rsidRPr="00476054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(MP)</w:t>
              </w:r>
            </w:hyperlink>
          </w:p>
        </w:tc>
      </w:tr>
      <w:tr w:rsidR="001856D1" w14:paraId="537D3DAE" w14:textId="77777777">
        <w:trPr>
          <w:trHeight w:val="578"/>
        </w:trPr>
        <w:tc>
          <w:tcPr>
            <w:tcW w:w="628" w:type="dxa"/>
            <w:vAlign w:val="center"/>
          </w:tcPr>
          <w:p w14:paraId="39774F3C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684" w:type="dxa"/>
            <w:vAlign w:val="bottom"/>
          </w:tcPr>
          <w:p w14:paraId="31278099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R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ealiza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ção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ampla pesquisa de preços do objeto, priorizando os parâmetros previstos nos (Painel de Preços) e  (contratações similares de outros entes públicos)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conforme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instrução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normativas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SEGES n.º 70/2020 e 65/2021.</w:t>
            </w:r>
          </w:p>
        </w:tc>
      </w:tr>
      <w:tr w:rsidR="001856D1" w14:paraId="18AF465A" w14:textId="77777777">
        <w:trPr>
          <w:trHeight w:val="578"/>
        </w:trPr>
        <w:tc>
          <w:tcPr>
            <w:tcW w:w="628" w:type="dxa"/>
            <w:vAlign w:val="center"/>
          </w:tcPr>
          <w:p w14:paraId="06B41CB9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684" w:type="dxa"/>
            <w:vAlign w:val="bottom"/>
          </w:tcPr>
          <w:p w14:paraId="46BE96E2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caso de pesquisa com menos de três preços/fornecedores apresentar justificativa.</w:t>
            </w:r>
          </w:p>
        </w:tc>
      </w:tr>
      <w:tr w:rsidR="001856D1" w14:paraId="4DB87E9B" w14:textId="77777777">
        <w:trPr>
          <w:trHeight w:val="578"/>
        </w:trPr>
        <w:tc>
          <w:tcPr>
            <w:tcW w:w="628" w:type="dxa"/>
            <w:vAlign w:val="center"/>
          </w:tcPr>
          <w:p w14:paraId="172AB3E7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8684" w:type="dxa"/>
            <w:vAlign w:val="bottom"/>
          </w:tcPr>
          <w:p w14:paraId="5C446A26" w14:textId="77777777" w:rsidR="001856D1" w:rsidRDefault="0000000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Mapa comparativo</w:t>
            </w:r>
          </w:p>
          <w:p w14:paraId="47A92DB6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(Item/ objeto/ fornecedor - CNPJ /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qtde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 valor unitário</w:t>
            </w:r>
          </w:p>
          <w:p w14:paraId="404B8D43" w14:textId="57452B0F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metodologia utilizada para obtenção do preço </w:t>
            </w:r>
            <w:r>
              <w:rPr>
                <w:rFonts w:ascii="Calibri" w:eastAsia="SimSun" w:hAnsi="Calibri" w:cs="Calibri"/>
                <w:sz w:val="20"/>
                <w:szCs w:val="20"/>
              </w:rPr>
              <w:t>estimado: Média, a mediana ou o menor dos valores.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D771DA1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Consta o nome do elaborador SIAPE, data e Assinatura?</w:t>
            </w:r>
          </w:p>
        </w:tc>
      </w:tr>
      <w:tr w:rsidR="001856D1" w14:paraId="5FD5AF77" w14:textId="77777777">
        <w:trPr>
          <w:trHeight w:val="578"/>
        </w:trPr>
        <w:tc>
          <w:tcPr>
            <w:tcW w:w="628" w:type="dxa"/>
            <w:vAlign w:val="center"/>
          </w:tcPr>
          <w:p w14:paraId="39DDE756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684" w:type="dxa"/>
            <w:vAlign w:val="bottom"/>
          </w:tcPr>
          <w:p w14:paraId="11009EB8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Justificar sobre a EXATA IDENTIDADE do objeto de que necessita a administração àquele registrado na ata, bem como sobre a VANTAJOSIDADE da adesão pretendida, mediante consulta aos preços de mercado, incluindo os custos de logística.</w:t>
            </w:r>
          </w:p>
        </w:tc>
      </w:tr>
      <w:tr w:rsidR="001856D1" w14:paraId="0E14D1B9" w14:textId="77777777">
        <w:trPr>
          <w:trHeight w:val="400"/>
        </w:trPr>
        <w:tc>
          <w:tcPr>
            <w:tcW w:w="628" w:type="dxa"/>
            <w:vAlign w:val="center"/>
          </w:tcPr>
          <w:p w14:paraId="23B95208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684" w:type="dxa"/>
            <w:vAlign w:val="bottom"/>
          </w:tcPr>
          <w:p w14:paraId="178CC2AB" w14:textId="0D0D6E0D" w:rsidR="001856D1" w:rsidRDefault="00000000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Consulta saldo de ata: </w:t>
            </w:r>
            <w:r>
              <w:rPr>
                <w:rFonts w:ascii="Calibri" w:hAnsi="Calibri" w:cs="Calibri"/>
                <w:bCs/>
                <w:color w:val="0000FF"/>
                <w:sz w:val="20"/>
                <w:szCs w:val="20"/>
              </w:rPr>
              <w:t xml:space="preserve"> </w:t>
            </w:r>
            <w:r w:rsidR="000109DD" w:rsidRPr="000109DD">
              <w:rPr>
                <w:rFonts w:ascii="Calibri" w:hAnsi="Calibri" w:cs="Calibri"/>
                <w:bCs/>
                <w:color w:val="0000FF"/>
                <w:sz w:val="20"/>
                <w:szCs w:val="20"/>
              </w:rPr>
              <w:t>https://www2.comprasnet.gov.br/siasgnet-atasrp/public/pesquisarLicitacaoSRP.do?method=iniciar</w:t>
            </w:r>
          </w:p>
        </w:tc>
      </w:tr>
      <w:tr w:rsidR="001856D1" w14:paraId="33B502BE" w14:textId="77777777">
        <w:trPr>
          <w:trHeight w:val="400"/>
        </w:trPr>
        <w:tc>
          <w:tcPr>
            <w:tcW w:w="628" w:type="dxa"/>
            <w:vAlign w:val="center"/>
          </w:tcPr>
          <w:p w14:paraId="4FBE5124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684" w:type="dxa"/>
            <w:vAlign w:val="bottom"/>
          </w:tcPr>
          <w:p w14:paraId="533BAEFD" w14:textId="72C52EA4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2" w:history="1">
              <w:r w:rsidR="00C561C9" w:rsidRPr="00C561C9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Anuência do órgão gerenciador (solicitado através de formulário preenchido e enviado a SRAAL através do e-mail</w:t>
              </w:r>
            </w:hyperlink>
            <w:r w:rsidR="00C561C9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hyperlink r:id="rId13" w:history="1">
              <w:r w:rsidR="00C561C9">
                <w:rPr>
                  <w:rStyle w:val="Hyperlink"/>
                  <w:rFonts w:ascii="Calibri" w:hAnsi="Calibri" w:cs="Calibri"/>
                  <w:bCs/>
                  <w:color w:val="auto"/>
                  <w:sz w:val="20"/>
                  <w:szCs w:val="20"/>
                </w:rPr>
                <w:t>sraal.progest@univasf.edu.br)</w:t>
              </w:r>
            </w:hyperlink>
          </w:p>
        </w:tc>
      </w:tr>
      <w:tr w:rsidR="001856D1" w14:paraId="20D9B4AF" w14:textId="77777777">
        <w:trPr>
          <w:trHeight w:val="280"/>
        </w:trPr>
        <w:tc>
          <w:tcPr>
            <w:tcW w:w="628" w:type="dxa"/>
            <w:vAlign w:val="center"/>
          </w:tcPr>
          <w:p w14:paraId="4236FCE7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8684" w:type="dxa"/>
            <w:vAlign w:val="bottom"/>
          </w:tcPr>
          <w:p w14:paraId="52910781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Documento 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anuencia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fornecedor.</w:t>
            </w:r>
          </w:p>
        </w:tc>
      </w:tr>
      <w:tr w:rsidR="001856D1" w14:paraId="35E57E88" w14:textId="77777777">
        <w:trPr>
          <w:trHeight w:val="208"/>
        </w:trPr>
        <w:tc>
          <w:tcPr>
            <w:tcW w:w="628" w:type="dxa"/>
            <w:vAlign w:val="center"/>
          </w:tcPr>
          <w:p w14:paraId="5AF568BA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8684" w:type="dxa"/>
            <w:vAlign w:val="bottom"/>
          </w:tcPr>
          <w:p w14:paraId="13BF8888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Documento de previsão de recursos orçamentários.</w:t>
            </w:r>
          </w:p>
        </w:tc>
      </w:tr>
      <w:tr w:rsidR="001856D1" w14:paraId="4500B353" w14:textId="77777777">
        <w:trPr>
          <w:trHeight w:val="1041"/>
        </w:trPr>
        <w:tc>
          <w:tcPr>
            <w:tcW w:w="628" w:type="dxa"/>
            <w:vAlign w:val="center"/>
          </w:tcPr>
          <w:p w14:paraId="4033F8EE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8684" w:type="dxa"/>
            <w:vAlign w:val="bottom"/>
          </w:tcPr>
          <w:p w14:paraId="24E18DEA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Juntada, no processo, de cópias da ata, edital da licitação, termo de referência, termo de contrato (quando este existir) resultado por fornecedor e termo de homologação, referentes à licitação realizada e ao objeto que se pretende aderir para verificação da validade da ata, limites para as contratações pelos caronas e certificação do objeto registrado e das condições para sua execução.</w:t>
            </w:r>
          </w:p>
          <w:p w14:paraId="7C0E2079" w14:textId="77777777" w:rsidR="001856D1" w:rsidRDefault="001856D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56D1" w14:paraId="58970E63" w14:textId="77777777">
        <w:trPr>
          <w:trHeight w:val="781"/>
        </w:trPr>
        <w:tc>
          <w:tcPr>
            <w:tcW w:w="628" w:type="dxa"/>
            <w:vAlign w:val="center"/>
          </w:tcPr>
          <w:p w14:paraId="46EC4A3F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684" w:type="dxa"/>
            <w:vAlign w:val="bottom"/>
          </w:tcPr>
          <w:p w14:paraId="71E93D95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Termo de referência </w:t>
            </w:r>
          </w:p>
          <w:p w14:paraId="1BEC7025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 termo de referência poderá ser dispensado em caso de adesão a ata, caso seja elaborado deverá respeitar as mesmas condições postas no termo de referência da licitação e, ainda, deverá ser devidamente aprovado pela autoridade competente.</w:t>
            </w:r>
          </w:p>
        </w:tc>
      </w:tr>
      <w:tr w:rsidR="001856D1" w14:paraId="54AC135A" w14:textId="77777777">
        <w:trPr>
          <w:trHeight w:val="368"/>
        </w:trPr>
        <w:tc>
          <w:tcPr>
            <w:tcW w:w="628" w:type="dxa"/>
            <w:vAlign w:val="center"/>
          </w:tcPr>
          <w:p w14:paraId="360FC8BA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8684" w:type="dxa"/>
            <w:vAlign w:val="bottom"/>
          </w:tcPr>
          <w:p w14:paraId="16945C78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minuta de termo de contrato, se houver, deverá obedecer as mesmas cláusulas do termo de contrato decorrente da licitação, ressalvando-se condições peculiares à administração aderente, tais como: data de início da execução, local onde será entregue ou executado o objeto e quantidade.</w:t>
            </w:r>
          </w:p>
        </w:tc>
      </w:tr>
      <w:tr w:rsidR="001856D1" w14:paraId="46D18E11" w14:textId="77777777">
        <w:trPr>
          <w:trHeight w:val="578"/>
        </w:trPr>
        <w:tc>
          <w:tcPr>
            <w:tcW w:w="628" w:type="dxa"/>
            <w:vAlign w:val="center"/>
          </w:tcPr>
          <w:p w14:paraId="686F4088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8684" w:type="dxa"/>
            <w:vAlign w:val="bottom"/>
          </w:tcPr>
          <w:p w14:paraId="0F0B7D46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 fornecedor registrado na ata de registro de preços deverá manter as mesmas condições de habilitação exigidas no edital da licitação.</w:t>
            </w:r>
          </w:p>
        </w:tc>
      </w:tr>
      <w:tr w:rsidR="001856D1" w14:paraId="2BE6211A" w14:textId="77777777">
        <w:trPr>
          <w:trHeight w:val="578"/>
        </w:trPr>
        <w:tc>
          <w:tcPr>
            <w:tcW w:w="628" w:type="dxa"/>
            <w:vAlign w:val="center"/>
          </w:tcPr>
          <w:p w14:paraId="7043FF62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8684" w:type="dxa"/>
            <w:vAlign w:val="bottom"/>
          </w:tcPr>
          <w:p w14:paraId="7BA9514D" w14:textId="77777777" w:rsidR="001856D1" w:rsidRDefault="001856D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9A0FD2C" w14:textId="77777777" w:rsidR="001856D1" w:rsidRDefault="000000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Deverá ser realizadas consultas nos seguintes sistemas  de registro de penalidades: </w:t>
            </w:r>
          </w:p>
          <w:p w14:paraId="201D40C0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1D49CF55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(b) Lista de Inidôneos do Tribunal de Contas da União (https://contas.tcu.gov.br); </w:t>
            </w:r>
          </w:p>
          <w:p w14:paraId="33A3B198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(c) Sistema de Cadastro Unificado de Fornecedores – SICAF;</w:t>
            </w:r>
          </w:p>
          <w:p w14:paraId="29E0D329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(d) Cadastro Informativo de créditos não quitados do setor público federal – CADIN (ADI n° 1454/DF); e</w:t>
            </w:r>
          </w:p>
          <w:p w14:paraId="3111958D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(d) Conselho Nacional de Justiça - CNJ (http://www.cnj.jus.br).</w:t>
            </w:r>
          </w:p>
          <w:p w14:paraId="0AA30AE8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Poderá ser solicitado auxílio ao DCL.</w:t>
            </w:r>
          </w:p>
        </w:tc>
      </w:tr>
      <w:tr w:rsidR="001856D1" w14:paraId="0BE80044" w14:textId="77777777">
        <w:trPr>
          <w:trHeight w:val="578"/>
        </w:trPr>
        <w:tc>
          <w:tcPr>
            <w:tcW w:w="628" w:type="dxa"/>
            <w:vAlign w:val="center"/>
          </w:tcPr>
          <w:p w14:paraId="3690AC7A" w14:textId="77777777" w:rsidR="001856D1" w:rsidRDefault="0000000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684" w:type="dxa"/>
            <w:vAlign w:val="bottom"/>
          </w:tcPr>
          <w:p w14:paraId="6735897A" w14:textId="77777777" w:rsidR="001856D1" w:rsidRDefault="0000000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Declaração para fins do disposto no inciso V do art. 27 da Lei nº 8.666, de 21 de junho de 1993, acrescido pela Lei nº 9.854, de 27 de outubro de 1999, que não emprega menor, impressa em Declarações do Pregão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Comprasnet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5E5ED63E" w14:textId="77777777" w:rsidR="001856D1" w:rsidRDefault="001856D1">
      <w:pPr>
        <w:jc w:val="both"/>
        <w:rPr>
          <w:rFonts w:ascii="Calibri" w:hAnsi="Calibri" w:cs="Calibri"/>
          <w:sz w:val="20"/>
          <w:szCs w:val="20"/>
        </w:rPr>
      </w:pPr>
    </w:p>
    <w:p w14:paraId="774DE26F" w14:textId="77777777" w:rsidR="001856D1" w:rsidRDefault="001856D1">
      <w:pPr>
        <w:jc w:val="both"/>
        <w:rPr>
          <w:rFonts w:ascii="Calibri" w:hAnsi="Calibri" w:cs="Calibri"/>
          <w:sz w:val="20"/>
          <w:szCs w:val="20"/>
        </w:rPr>
      </w:pPr>
    </w:p>
    <w:p w14:paraId="01F4BB55" w14:textId="77777777" w:rsidR="001856D1" w:rsidRDefault="00000000">
      <w:pPr>
        <w:jc w:val="both"/>
        <w:rPr>
          <w:rFonts w:ascii="Calibri" w:eastAsia="SimSun" w:hAnsi="Calibri" w:cs="Calibri"/>
          <w:b/>
          <w:bCs/>
        </w:rPr>
      </w:pPr>
      <w:r>
        <w:rPr>
          <w:rFonts w:ascii="Calibri" w:eastAsia="SimSun" w:hAnsi="Calibri" w:cs="Calibri"/>
          <w:b/>
          <w:bCs/>
        </w:rPr>
        <w:t>Observações complementares</w:t>
      </w:r>
    </w:p>
    <w:p w14:paraId="24C35ADC" w14:textId="77777777" w:rsidR="001856D1" w:rsidRDefault="001856D1">
      <w:pPr>
        <w:jc w:val="both"/>
        <w:rPr>
          <w:rFonts w:ascii="Calibri" w:eastAsia="SimSun" w:hAnsi="Calibri" w:cs="Calibri"/>
          <w:sz w:val="20"/>
          <w:szCs w:val="20"/>
        </w:rPr>
      </w:pPr>
    </w:p>
    <w:p w14:paraId="75817F7D" w14:textId="77777777" w:rsidR="001856D1" w:rsidRDefault="00000000">
      <w:pPr>
        <w:jc w:val="both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 w:cs="Calibri"/>
          <w:sz w:val="20"/>
          <w:szCs w:val="20"/>
        </w:rPr>
        <w:t xml:space="preserve">ITEM 02: Informar no despacho (órgão gerenciador, </w:t>
      </w:r>
      <w:proofErr w:type="spellStart"/>
      <w:r>
        <w:rPr>
          <w:rFonts w:ascii="Calibri" w:eastAsia="SimSun" w:hAnsi="Calibri" w:cs="Calibri"/>
          <w:sz w:val="20"/>
          <w:szCs w:val="20"/>
        </w:rPr>
        <w:t>Uasg</w:t>
      </w:r>
      <w:proofErr w:type="spellEnd"/>
      <w:r>
        <w:rPr>
          <w:rFonts w:ascii="Calibri" w:eastAsia="SimSun" w:hAnsi="Calibri" w:cs="Calibri"/>
          <w:sz w:val="20"/>
          <w:szCs w:val="20"/>
        </w:rPr>
        <w:t>, número do pregão e número do item)</w:t>
      </w:r>
    </w:p>
    <w:p w14:paraId="0404DFE4" w14:textId="77777777" w:rsidR="001856D1" w:rsidRDefault="001856D1">
      <w:pPr>
        <w:jc w:val="both"/>
        <w:rPr>
          <w:rFonts w:ascii="Calibri" w:eastAsia="SimSun" w:hAnsi="Calibri" w:cs="Calibri"/>
          <w:sz w:val="20"/>
          <w:szCs w:val="20"/>
        </w:rPr>
      </w:pPr>
    </w:p>
    <w:p w14:paraId="4A0DDC82" w14:textId="77777777" w:rsidR="001856D1" w:rsidRDefault="00000000">
      <w:pPr>
        <w:jc w:val="both"/>
        <w:rPr>
          <w:rFonts w:ascii="Calibri" w:eastAsia="SimSu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ITEM 03 - DFD - </w:t>
      </w:r>
      <w:r>
        <w:rPr>
          <w:rFonts w:ascii="Calibri" w:eastAsia="SimSun" w:hAnsi="Calibri" w:cs="Calibri"/>
          <w:sz w:val="20"/>
          <w:szCs w:val="20"/>
        </w:rPr>
        <w:t>O Documento de Formalização de Demanda (DFD) é o documento de abertura  para dar início a um processo de aquisição de produtos ou serviços .</w:t>
      </w:r>
    </w:p>
    <w:p w14:paraId="10D1474A" w14:textId="77777777" w:rsidR="001856D1" w:rsidRDefault="00000000">
      <w:pPr>
        <w:jc w:val="both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 w:cs="Calibri"/>
          <w:sz w:val="20"/>
          <w:szCs w:val="20"/>
        </w:rPr>
        <w:t xml:space="preserve">Este documento deve ser preenchido pela unidade requisitante, sendo o primeiro documento a ser inserido em um processo de aquisição/contratação. </w:t>
      </w:r>
    </w:p>
    <w:p w14:paraId="47A8901D" w14:textId="77777777" w:rsidR="001856D1" w:rsidRDefault="001856D1">
      <w:pPr>
        <w:jc w:val="both"/>
        <w:rPr>
          <w:rFonts w:ascii="Calibri" w:eastAsia="SimSun" w:hAnsi="Calibri" w:cs="Calibri"/>
          <w:sz w:val="20"/>
          <w:szCs w:val="20"/>
        </w:rPr>
      </w:pPr>
    </w:p>
    <w:p w14:paraId="28AD8526" w14:textId="77777777" w:rsidR="001856D1" w:rsidRDefault="00000000">
      <w:pPr>
        <w:jc w:val="both"/>
        <w:rPr>
          <w:rFonts w:ascii="Calibri" w:eastAsia="SimSun" w:hAnsi="Calibri" w:cs="Calibri"/>
          <w:sz w:val="20"/>
          <w:szCs w:val="20"/>
          <w:lang w:val="pt"/>
        </w:rPr>
      </w:pPr>
      <w:r>
        <w:rPr>
          <w:rFonts w:ascii="Calibri" w:eastAsia="SimSun" w:hAnsi="Calibri" w:cs="Calibri"/>
          <w:sz w:val="20"/>
          <w:szCs w:val="20"/>
        </w:rPr>
        <w:t xml:space="preserve">ITEM 09: </w:t>
      </w:r>
      <w:r>
        <w:rPr>
          <w:rFonts w:ascii="Calibri" w:eastAsia="SimSun" w:hAnsi="Calibri" w:cs="Calibri"/>
          <w:sz w:val="20"/>
          <w:szCs w:val="20"/>
          <w:lang w:val="pt"/>
        </w:rPr>
        <w:t>Estudo Técnico Preliminar (</w:t>
      </w:r>
      <w:r>
        <w:rPr>
          <w:rFonts w:ascii="Calibri" w:eastAsia="SimSun" w:hAnsi="Calibri" w:cs="Calibri"/>
          <w:b/>
          <w:bCs/>
          <w:sz w:val="20"/>
          <w:szCs w:val="20"/>
          <w:lang w:val="pt"/>
        </w:rPr>
        <w:t>ETP</w:t>
      </w:r>
      <w:r>
        <w:rPr>
          <w:rFonts w:ascii="Calibri" w:eastAsia="SimSun" w:hAnsi="Calibri" w:cs="Calibri"/>
          <w:sz w:val="20"/>
          <w:szCs w:val="20"/>
          <w:lang w:val="pt"/>
        </w:rPr>
        <w:t>) é o documento que integra a fase de planejamento das contratações públicas e tem o objetivo de demonstrar a real necessidade da contratação, analisar a viabilidade técnica de implementá-la, bem como instruir o arcabouço básico para a elaboração do Termo de Referência ou Projeto Básico.</w:t>
      </w:r>
    </w:p>
    <w:p w14:paraId="23D9C9C4" w14:textId="77777777" w:rsidR="001856D1" w:rsidRDefault="001856D1">
      <w:pPr>
        <w:jc w:val="both"/>
        <w:rPr>
          <w:rFonts w:ascii="Calibri" w:eastAsia="SimSun" w:hAnsi="Calibri" w:cs="Calibri"/>
          <w:sz w:val="20"/>
          <w:szCs w:val="20"/>
          <w:lang w:val="pt"/>
        </w:rPr>
      </w:pPr>
    </w:p>
    <w:p w14:paraId="751E1833" w14:textId="77777777" w:rsidR="001856D1" w:rsidRDefault="00000000">
      <w:pPr>
        <w:jc w:val="both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 w:cs="Calibri"/>
          <w:sz w:val="20"/>
          <w:szCs w:val="20"/>
        </w:rPr>
        <w:t>ITEM 23: Este item poderá ser realizado pelo DCL ou com o auxílio deste.</w:t>
      </w:r>
    </w:p>
    <w:p w14:paraId="1E935EFB" w14:textId="77777777" w:rsidR="001856D1" w:rsidRDefault="001856D1">
      <w:pPr>
        <w:jc w:val="both"/>
        <w:rPr>
          <w:rFonts w:ascii="Calibri" w:eastAsia="SimSun" w:hAnsi="Calibri" w:cs="Calibri"/>
          <w:sz w:val="20"/>
          <w:szCs w:val="20"/>
        </w:rPr>
      </w:pPr>
    </w:p>
    <w:p w14:paraId="16AF7FCE" w14:textId="77777777" w:rsidR="001856D1" w:rsidRDefault="00000000">
      <w:pPr>
        <w:jc w:val="both"/>
        <w:rPr>
          <w:rFonts w:ascii="Calibri" w:eastAsia="SimSun" w:hAnsi="Calibri" w:cs="Calibri"/>
          <w:sz w:val="20"/>
          <w:szCs w:val="20"/>
        </w:rPr>
      </w:pPr>
      <w:r>
        <w:rPr>
          <w:rFonts w:ascii="Calibri" w:eastAsia="SimSun" w:hAnsi="Calibri" w:cs="Calibri"/>
          <w:sz w:val="20"/>
          <w:szCs w:val="20"/>
        </w:rPr>
        <w:t>ITEM 24: Este item poderá ser realizado pelo DCL ou com o auxílio deste.</w:t>
      </w:r>
    </w:p>
    <w:p w14:paraId="65C6B349" w14:textId="77777777" w:rsidR="001856D1" w:rsidRDefault="001856D1">
      <w:pPr>
        <w:jc w:val="both"/>
        <w:rPr>
          <w:rFonts w:ascii="Calibri" w:eastAsia="SimSun" w:hAnsi="Calibri" w:cs="Calibri"/>
          <w:sz w:val="20"/>
          <w:szCs w:val="20"/>
        </w:rPr>
      </w:pPr>
    </w:p>
    <w:p w14:paraId="12D8F33B" w14:textId="77777777" w:rsidR="001856D1" w:rsidRDefault="001856D1">
      <w:pPr>
        <w:jc w:val="both"/>
        <w:rPr>
          <w:rFonts w:ascii="Calibri" w:eastAsia="SimSun" w:hAnsi="Calibri" w:cs="Calibri"/>
          <w:sz w:val="24"/>
          <w:szCs w:val="24"/>
        </w:rPr>
      </w:pPr>
    </w:p>
    <w:p w14:paraId="27F7CDA4" w14:textId="77777777" w:rsidR="001856D1" w:rsidRDefault="001856D1">
      <w:pPr>
        <w:jc w:val="both"/>
        <w:rPr>
          <w:rFonts w:ascii="Calibri" w:eastAsia="SimSun" w:hAnsi="Calibri" w:cs="Calibri"/>
          <w:sz w:val="24"/>
          <w:szCs w:val="24"/>
        </w:rPr>
      </w:pPr>
    </w:p>
    <w:p w14:paraId="6898D0B0" w14:textId="77777777" w:rsidR="001856D1" w:rsidRDefault="001856D1">
      <w:pPr>
        <w:jc w:val="both"/>
        <w:rPr>
          <w:rFonts w:ascii="Calibri" w:eastAsia="SimSun" w:hAnsi="Calibri" w:cs="Calibri"/>
          <w:sz w:val="24"/>
          <w:szCs w:val="24"/>
        </w:rPr>
      </w:pPr>
    </w:p>
    <w:sectPr w:rsidR="001856D1">
      <w:headerReference w:type="default" r:id="rId14"/>
      <w:footerReference w:type="default" r:id="rId15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6252" w14:textId="77777777" w:rsidR="000C49E9" w:rsidRDefault="000C49E9">
      <w:r>
        <w:separator/>
      </w:r>
    </w:p>
  </w:endnote>
  <w:endnote w:type="continuationSeparator" w:id="0">
    <w:p w14:paraId="31BACCD3" w14:textId="77777777" w:rsidR="000C49E9" w:rsidRDefault="000C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Segoe Prin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C8FF" w14:textId="77777777" w:rsidR="001856D1" w:rsidRDefault="00000000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Diretoria de Compras e Licitações – DCL</w:t>
    </w:r>
  </w:p>
  <w:p w14:paraId="0B4BAEE3" w14:textId="77777777" w:rsidR="001856D1" w:rsidRDefault="00000000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7181028B" w14:textId="77777777" w:rsidR="001856D1" w:rsidRDefault="00000000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29/08/2023</w:t>
    </w:r>
  </w:p>
  <w:sdt>
    <w:sdtPr>
      <w:id w:val="17016108"/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D4B84A8" w14:textId="77777777" w:rsidR="001856D1" w:rsidRDefault="00000000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552D0C1A" w14:textId="77777777" w:rsidR="001856D1" w:rsidRDefault="001856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430F" w14:textId="77777777" w:rsidR="000C49E9" w:rsidRDefault="000C49E9">
      <w:r>
        <w:separator/>
      </w:r>
    </w:p>
  </w:footnote>
  <w:footnote w:type="continuationSeparator" w:id="0">
    <w:p w14:paraId="49375531" w14:textId="77777777" w:rsidR="000C49E9" w:rsidRDefault="000C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42F2" w14:textId="77777777" w:rsidR="001856D1" w:rsidRDefault="001856D1">
    <w:pPr>
      <w:pStyle w:val="Cabealho"/>
    </w:pPr>
  </w:p>
  <w:p w14:paraId="409AEA1F" w14:textId="77777777" w:rsidR="001856D1" w:rsidRDefault="001856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30B"/>
    <w:multiLevelType w:val="multilevel"/>
    <w:tmpl w:val="0B15530B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2435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AF"/>
    <w:rsid w:val="000109DD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C49E9"/>
    <w:rsid w:val="000D3810"/>
    <w:rsid w:val="000E15DA"/>
    <w:rsid w:val="000E434E"/>
    <w:rsid w:val="000F34CC"/>
    <w:rsid w:val="00103D53"/>
    <w:rsid w:val="00124A7A"/>
    <w:rsid w:val="00126725"/>
    <w:rsid w:val="001441F4"/>
    <w:rsid w:val="00144E74"/>
    <w:rsid w:val="00152CBE"/>
    <w:rsid w:val="0016366E"/>
    <w:rsid w:val="00170AE6"/>
    <w:rsid w:val="00175C88"/>
    <w:rsid w:val="001824AA"/>
    <w:rsid w:val="001856D1"/>
    <w:rsid w:val="001864BF"/>
    <w:rsid w:val="00186CCD"/>
    <w:rsid w:val="00190309"/>
    <w:rsid w:val="00195B0C"/>
    <w:rsid w:val="001A6AFA"/>
    <w:rsid w:val="001C33AB"/>
    <w:rsid w:val="001D26C0"/>
    <w:rsid w:val="001E669E"/>
    <w:rsid w:val="001F0775"/>
    <w:rsid w:val="001F0FFB"/>
    <w:rsid w:val="001F1CD4"/>
    <w:rsid w:val="001F24E3"/>
    <w:rsid w:val="00212CA7"/>
    <w:rsid w:val="00227D18"/>
    <w:rsid w:val="002312F3"/>
    <w:rsid w:val="00232BC1"/>
    <w:rsid w:val="002427E4"/>
    <w:rsid w:val="00265B5E"/>
    <w:rsid w:val="00272FE4"/>
    <w:rsid w:val="00277A9E"/>
    <w:rsid w:val="00282F86"/>
    <w:rsid w:val="00283883"/>
    <w:rsid w:val="00283C6E"/>
    <w:rsid w:val="0028774D"/>
    <w:rsid w:val="00296E31"/>
    <w:rsid w:val="0029799C"/>
    <w:rsid w:val="002A1C8B"/>
    <w:rsid w:val="002B5269"/>
    <w:rsid w:val="002B77B5"/>
    <w:rsid w:val="002C73FB"/>
    <w:rsid w:val="002D668B"/>
    <w:rsid w:val="002F3ECB"/>
    <w:rsid w:val="002F5B45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6D4D"/>
    <w:rsid w:val="003B4B5B"/>
    <w:rsid w:val="003F0922"/>
    <w:rsid w:val="00402ED5"/>
    <w:rsid w:val="004145B0"/>
    <w:rsid w:val="00421EBB"/>
    <w:rsid w:val="00427385"/>
    <w:rsid w:val="00443B59"/>
    <w:rsid w:val="00444684"/>
    <w:rsid w:val="00452D15"/>
    <w:rsid w:val="00456B44"/>
    <w:rsid w:val="004702DB"/>
    <w:rsid w:val="00474074"/>
    <w:rsid w:val="00476054"/>
    <w:rsid w:val="004801D7"/>
    <w:rsid w:val="00490F42"/>
    <w:rsid w:val="00491438"/>
    <w:rsid w:val="004A0E7D"/>
    <w:rsid w:val="004A172B"/>
    <w:rsid w:val="004B0194"/>
    <w:rsid w:val="004B0BAB"/>
    <w:rsid w:val="004C017C"/>
    <w:rsid w:val="004D2129"/>
    <w:rsid w:val="004D611D"/>
    <w:rsid w:val="004E0596"/>
    <w:rsid w:val="004F1447"/>
    <w:rsid w:val="004F2639"/>
    <w:rsid w:val="00515762"/>
    <w:rsid w:val="0051756D"/>
    <w:rsid w:val="00521386"/>
    <w:rsid w:val="00526F53"/>
    <w:rsid w:val="00530F59"/>
    <w:rsid w:val="0053718C"/>
    <w:rsid w:val="0055012B"/>
    <w:rsid w:val="0055023E"/>
    <w:rsid w:val="00550BFF"/>
    <w:rsid w:val="00550E2C"/>
    <w:rsid w:val="00567B33"/>
    <w:rsid w:val="0057162D"/>
    <w:rsid w:val="00581A9C"/>
    <w:rsid w:val="005870EA"/>
    <w:rsid w:val="00590EFF"/>
    <w:rsid w:val="00592348"/>
    <w:rsid w:val="00597047"/>
    <w:rsid w:val="005C3356"/>
    <w:rsid w:val="005C3779"/>
    <w:rsid w:val="005C6A1F"/>
    <w:rsid w:val="005D4397"/>
    <w:rsid w:val="005D516E"/>
    <w:rsid w:val="005D6D4F"/>
    <w:rsid w:val="005E1EB1"/>
    <w:rsid w:val="005E62DA"/>
    <w:rsid w:val="005F2D59"/>
    <w:rsid w:val="005F673F"/>
    <w:rsid w:val="006222EA"/>
    <w:rsid w:val="00631AF2"/>
    <w:rsid w:val="0063513E"/>
    <w:rsid w:val="00636897"/>
    <w:rsid w:val="006374BD"/>
    <w:rsid w:val="006435E5"/>
    <w:rsid w:val="00646F89"/>
    <w:rsid w:val="00662D4A"/>
    <w:rsid w:val="00663A5E"/>
    <w:rsid w:val="006824C8"/>
    <w:rsid w:val="006A76AC"/>
    <w:rsid w:val="006C51B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D2D86"/>
    <w:rsid w:val="007E0E20"/>
    <w:rsid w:val="007E331D"/>
    <w:rsid w:val="007E4384"/>
    <w:rsid w:val="00810891"/>
    <w:rsid w:val="0084545F"/>
    <w:rsid w:val="0084664C"/>
    <w:rsid w:val="00860EBE"/>
    <w:rsid w:val="00871A56"/>
    <w:rsid w:val="0087260D"/>
    <w:rsid w:val="008741FF"/>
    <w:rsid w:val="00880D9A"/>
    <w:rsid w:val="0088353F"/>
    <w:rsid w:val="00885E2B"/>
    <w:rsid w:val="00895A5B"/>
    <w:rsid w:val="008A42D5"/>
    <w:rsid w:val="008A6FD3"/>
    <w:rsid w:val="008B25A1"/>
    <w:rsid w:val="008C53A1"/>
    <w:rsid w:val="008C6AF5"/>
    <w:rsid w:val="008E46D6"/>
    <w:rsid w:val="008F00C4"/>
    <w:rsid w:val="008F22D4"/>
    <w:rsid w:val="0090617A"/>
    <w:rsid w:val="00912302"/>
    <w:rsid w:val="00916E6C"/>
    <w:rsid w:val="009233D0"/>
    <w:rsid w:val="00923845"/>
    <w:rsid w:val="0093307D"/>
    <w:rsid w:val="009377E2"/>
    <w:rsid w:val="00944DB7"/>
    <w:rsid w:val="00964873"/>
    <w:rsid w:val="00964A11"/>
    <w:rsid w:val="00966661"/>
    <w:rsid w:val="009875EC"/>
    <w:rsid w:val="009A5941"/>
    <w:rsid w:val="009D54FE"/>
    <w:rsid w:val="009E3B90"/>
    <w:rsid w:val="009E45D8"/>
    <w:rsid w:val="009E5D2E"/>
    <w:rsid w:val="009F75A6"/>
    <w:rsid w:val="00A10038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234C"/>
    <w:rsid w:val="00B038E4"/>
    <w:rsid w:val="00B31F79"/>
    <w:rsid w:val="00B3390E"/>
    <w:rsid w:val="00B506D3"/>
    <w:rsid w:val="00B610B5"/>
    <w:rsid w:val="00B6253C"/>
    <w:rsid w:val="00B63DD7"/>
    <w:rsid w:val="00B863AF"/>
    <w:rsid w:val="00B871A5"/>
    <w:rsid w:val="00B87F51"/>
    <w:rsid w:val="00B92A05"/>
    <w:rsid w:val="00B942A0"/>
    <w:rsid w:val="00BA6B81"/>
    <w:rsid w:val="00BB0CE8"/>
    <w:rsid w:val="00BB2F90"/>
    <w:rsid w:val="00BC2398"/>
    <w:rsid w:val="00BC583E"/>
    <w:rsid w:val="00BD6EA1"/>
    <w:rsid w:val="00BE54B2"/>
    <w:rsid w:val="00BF5953"/>
    <w:rsid w:val="00C471A3"/>
    <w:rsid w:val="00C54DD2"/>
    <w:rsid w:val="00C561C9"/>
    <w:rsid w:val="00C67885"/>
    <w:rsid w:val="00C72089"/>
    <w:rsid w:val="00C8698D"/>
    <w:rsid w:val="00CA47F6"/>
    <w:rsid w:val="00CC3814"/>
    <w:rsid w:val="00CD7F05"/>
    <w:rsid w:val="00CE5785"/>
    <w:rsid w:val="00CF03A4"/>
    <w:rsid w:val="00CF2E65"/>
    <w:rsid w:val="00D16F88"/>
    <w:rsid w:val="00D400AF"/>
    <w:rsid w:val="00D431C9"/>
    <w:rsid w:val="00D4734F"/>
    <w:rsid w:val="00D565DA"/>
    <w:rsid w:val="00D571AF"/>
    <w:rsid w:val="00D57D95"/>
    <w:rsid w:val="00D64968"/>
    <w:rsid w:val="00D66D1F"/>
    <w:rsid w:val="00D81BAF"/>
    <w:rsid w:val="00D850B2"/>
    <w:rsid w:val="00DB28E8"/>
    <w:rsid w:val="00DB50DD"/>
    <w:rsid w:val="00DB5ABC"/>
    <w:rsid w:val="00DC0FC2"/>
    <w:rsid w:val="00DD2AB8"/>
    <w:rsid w:val="00DD63D9"/>
    <w:rsid w:val="00DF2615"/>
    <w:rsid w:val="00DF3528"/>
    <w:rsid w:val="00E00A79"/>
    <w:rsid w:val="00E04F81"/>
    <w:rsid w:val="00E24572"/>
    <w:rsid w:val="00E2535C"/>
    <w:rsid w:val="00E36032"/>
    <w:rsid w:val="00E53A79"/>
    <w:rsid w:val="00E6548F"/>
    <w:rsid w:val="00E65F4D"/>
    <w:rsid w:val="00E8406D"/>
    <w:rsid w:val="00E932F2"/>
    <w:rsid w:val="00EA01C1"/>
    <w:rsid w:val="00EA3725"/>
    <w:rsid w:val="00EB14FF"/>
    <w:rsid w:val="00EC32C4"/>
    <w:rsid w:val="00EC7DEA"/>
    <w:rsid w:val="00ED5902"/>
    <w:rsid w:val="00EE1CD4"/>
    <w:rsid w:val="00EF29FA"/>
    <w:rsid w:val="00EF2FBB"/>
    <w:rsid w:val="00EF6278"/>
    <w:rsid w:val="00F0454A"/>
    <w:rsid w:val="00F152C0"/>
    <w:rsid w:val="00F153E7"/>
    <w:rsid w:val="00F20494"/>
    <w:rsid w:val="00F20E88"/>
    <w:rsid w:val="00F221BB"/>
    <w:rsid w:val="00F321FE"/>
    <w:rsid w:val="00F357E1"/>
    <w:rsid w:val="00F40058"/>
    <w:rsid w:val="00F46C13"/>
    <w:rsid w:val="00F530E6"/>
    <w:rsid w:val="00F56C51"/>
    <w:rsid w:val="00F57C9E"/>
    <w:rsid w:val="00F621D6"/>
    <w:rsid w:val="00F7358F"/>
    <w:rsid w:val="00F845D4"/>
    <w:rsid w:val="00F866F0"/>
    <w:rsid w:val="00F93C5B"/>
    <w:rsid w:val="00F93EEC"/>
    <w:rsid w:val="00FA23D8"/>
    <w:rsid w:val="00FA32B2"/>
    <w:rsid w:val="00FB3131"/>
    <w:rsid w:val="00FC4FED"/>
    <w:rsid w:val="00FF5134"/>
    <w:rsid w:val="067E2EB5"/>
    <w:rsid w:val="07C80190"/>
    <w:rsid w:val="0C3E5484"/>
    <w:rsid w:val="0CE17B1F"/>
    <w:rsid w:val="0D917C3E"/>
    <w:rsid w:val="0EA23C94"/>
    <w:rsid w:val="19864D1D"/>
    <w:rsid w:val="3A565012"/>
    <w:rsid w:val="3F7A538B"/>
    <w:rsid w:val="481667E5"/>
    <w:rsid w:val="570E5E25"/>
    <w:rsid w:val="5AC36B75"/>
    <w:rsid w:val="6D312C69"/>
    <w:rsid w:val="70D2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A6D3"/>
  <w15:docId w15:val="{50B54713-5CA2-498B-9F88-2ABC3D1B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framePr w:wrap="around" w:vAnchor="text" w:hAnchor="text" w:y="1"/>
      <w:numPr>
        <w:numId w:val="1"/>
      </w:numPr>
      <w:shd w:val="clear" w:color="auto" w:fill="FFFFFF"/>
      <w:spacing w:line="360" w:lineRule="auto"/>
      <w:jc w:val="both"/>
      <w:textAlignment w:val="baseline"/>
      <w:outlineLvl w:val="0"/>
    </w:pPr>
    <w:rPr>
      <w:rFonts w:ascii="Arial" w:eastAsia="Droid Sans Fallback" w:hAnsi="Arial" w:cs="Arial"/>
      <w:b/>
      <w:color w:val="FF0000"/>
      <w:kern w:val="3"/>
      <w:sz w:val="20"/>
      <w:szCs w:val="20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after="200"/>
    </w:pPr>
    <w:rPr>
      <w:sz w:val="20"/>
      <w:szCs w:val="20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pPr>
      <w:spacing w:after="0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pacing w:after="200" w:line="276" w:lineRule="auto"/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qFormat/>
    <w:rPr>
      <w:rFonts w:ascii="Arial" w:eastAsia="Droid Sans Fallback" w:hAnsi="Arial" w:cs="Arial"/>
      <w:b/>
      <w:color w:val="FF0000"/>
      <w:kern w:val="3"/>
      <w:sz w:val="20"/>
      <w:szCs w:val="20"/>
      <w:shd w:val="clear" w:color="auto" w:fill="FFFFFF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9"/>
    <w:qFormat/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western">
    <w:name w:val="western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tulo9Char">
    <w:name w:val="Título 9 Char"/>
    <w:basedOn w:val="Fontepargpadro"/>
    <w:link w:val="Ttulo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locked/>
  </w:style>
  <w:style w:type="character" w:customStyle="1" w:styleId="TextodenotaderodapChar1">
    <w:name w:val="Texto de nota de rodapé Char1"/>
    <w:basedOn w:val="Fontepargpadro"/>
    <w:uiPriority w:val="99"/>
    <w:semiHidden/>
    <w:qFormat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C5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s.univasf.edu.br/acessoainformacao/licitacoes-e-contratos/arquivos/portaria-no-1-379_reitoria_univasf-de-13-de-setembro-de-2023-portaria-no-1-379_reitoria_univasf-de-13-de-setembro-de-2023-dou-imprensa-nacional.pdf" TargetMode="External"/><Relationship Id="rId13" Type="http://schemas.openxmlformats.org/officeDocument/2006/relationships/hyperlink" Target="mailto:sraal.progest@univasf.edu.br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is.univasf.edu.br/acessoainformacao/licitacoes-e-contratos/arquivos/planilha-para-adesao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s.univasf.edu.br/acessoainformacao/licitacoes-e-contratos/arquivos/mapa-de-riscos-adesao-carona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rtais.univasf.edu.br/acessoainformacao/licitacoes-e-contratos/arquivos/modelo-de-etp-itens-basico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is.univasf.edu.br/acessoainformacao/licitacoes-e-contratos/arquivos/modelo-dfd-documento-de-formalizacao-de-demanda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490F9-421E-450B-B688-75F546A0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979</Words>
  <Characters>5292</Characters>
  <Application>Microsoft Office Word</Application>
  <DocSecurity>0</DocSecurity>
  <Lines>44</Lines>
  <Paragraphs>12</Paragraphs>
  <ScaleCrop>false</ScaleCrop>
  <Company>Microsoft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César da Costa Santos</cp:lastModifiedBy>
  <cp:revision>10</cp:revision>
  <cp:lastPrinted>2018-12-03T11:09:00Z</cp:lastPrinted>
  <dcterms:created xsi:type="dcterms:W3CDTF">2023-09-27T13:38:00Z</dcterms:created>
  <dcterms:modified xsi:type="dcterms:W3CDTF">2023-11-16T17:09:00Z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1046-12.2.0.13208</vt:lpwstr>
  </property>
  <property fmtid="{D5CDD505-2E9C-101B-9397-08002B2CF9AE}" pid="3" name="ICV">
    <vt:lpwstr>125B08A102AC4F29ACA500A41936DBB4_13</vt:lpwstr>
  </property>
</Properties>
</file>