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  <w:bookmarkStart w:id="0" w:name="_GoBack"/>
      <w:bookmarkEnd w:id="0"/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>
      <w:pPr>
        <w:pStyle w:val="5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sz w:val="52"/>
          <w:lang w:eastAsia="ar-SA"/>
        </w:rPr>
      </w:pPr>
      <w:r>
        <w:rPr>
          <w:rFonts w:ascii="Calibri" w:hAnsi="Calibri" w:eastAsia="MS Mincho"/>
          <w:b/>
          <w:bCs/>
          <w:sz w:val="52"/>
          <w:lang w:eastAsia="ar-SA"/>
        </w:rPr>
        <w:tab/>
      </w:r>
      <w:r>
        <w:rPr>
          <w:rFonts w:ascii="Calibri" w:hAnsi="Calibri" w:eastAsia="MS Mincho"/>
          <w:b/>
          <w:bCs/>
          <w:sz w:val="52"/>
          <w:lang w:eastAsia="ar-SA"/>
        </w:rPr>
        <w:t>MAPA DE GERENCIAMENTO DE RISCOS</w:t>
      </w:r>
    </w:p>
    <w:p>
      <w:pPr>
        <w:pStyle w:val="5"/>
        <w:spacing w:before="240" w:after="200" w:line="360" w:lineRule="auto"/>
        <w:jc w:val="center"/>
        <w:rPr>
          <w:rFonts w:ascii="Calibri" w:hAnsi="Calibri"/>
          <w:b/>
          <w:sz w:val="28"/>
        </w:rPr>
      </w:pPr>
    </w:p>
    <w:p>
      <w:pPr>
        <w:pStyle w:val="5"/>
        <w:spacing w:before="240" w:after="200" w:line="360" w:lineRule="auto"/>
        <w:jc w:val="center"/>
      </w:pPr>
      <w:r>
        <w:rPr>
          <w:rFonts w:ascii="Calibri" w:hAnsi="Calibri"/>
          <w:b/>
          <w:sz w:val="28"/>
        </w:rPr>
        <w:t xml:space="preserve">Processo Administrativo nº </w:t>
      </w:r>
      <w:r>
        <w:rPr>
          <w:rFonts w:ascii="Calibri" w:hAnsi="Calibri"/>
          <w:b/>
          <w:color w:val="FF3333"/>
          <w:sz w:val="28"/>
        </w:rPr>
        <w:t>&lt;XXXXXXXX&gt;</w:t>
      </w: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after="0"/>
        <w:jc w:val="center"/>
        <w:rPr>
          <w:rFonts w:ascii="Calibri" w:hAnsi="Calibri"/>
        </w:rPr>
      </w:pPr>
    </w:p>
    <w:p>
      <w:pPr>
        <w:pStyle w:val="5"/>
        <w:spacing w:before="120" w:after="200" w:line="360" w:lineRule="auto"/>
        <w:jc w:val="center"/>
        <w:rPr>
          <w:rFonts w:ascii="Calibri" w:hAnsi="Calibri"/>
          <w:color w:val="FF3333"/>
          <w:sz w:val="52"/>
          <w:szCs w:val="52"/>
        </w:rPr>
      </w:pPr>
      <w:r>
        <w:rPr>
          <w:rFonts w:ascii="Calibri" w:hAnsi="Calibri"/>
          <w:color w:val="FF3333"/>
          <w:sz w:val="52"/>
          <w:szCs w:val="52"/>
        </w:rPr>
        <w:t>&lt;Nome do Projeto / Solução&gt;</w:t>
      </w: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spacing w:after="0"/>
        <w:rPr>
          <w:rFonts w:ascii="Calibri" w:hAnsi="Calibri"/>
        </w:rPr>
      </w:pPr>
    </w:p>
    <w:p>
      <w:pPr>
        <w:pStyle w:val="5"/>
        <w:tabs>
          <w:tab w:val="left" w:pos="800"/>
          <w:tab w:val="right" w:leader="dot" w:pos="9629"/>
        </w:tabs>
        <w:spacing w:before="120" w:after="200" w:line="360" w:lineRule="auto"/>
        <w:jc w:val="center"/>
      </w:pPr>
      <w:r>
        <w:rPr>
          <w:rFonts w:ascii="Calibri" w:hAnsi="Calibri" w:eastAsia="MS Mincho"/>
          <w:b/>
          <w:bCs/>
          <w:color w:val="FF3333"/>
          <w:lang w:eastAsia="ar-SA"/>
        </w:rPr>
        <w:t>&lt;Local&gt;</w:t>
      </w:r>
      <w:r>
        <w:rPr>
          <w:rFonts w:ascii="Calibri" w:hAnsi="Calibri" w:eastAsia="MS Mincho"/>
          <w:b/>
          <w:bCs/>
          <w:lang w:eastAsia="ar-SA"/>
        </w:rPr>
        <w:t xml:space="preserve">, </w:t>
      </w:r>
      <w:r>
        <w:rPr>
          <w:rFonts w:ascii="Calibri" w:hAnsi="Calibri" w:eastAsia="MS Mincho"/>
          <w:b/>
          <w:bCs/>
          <w:color w:val="FF3333"/>
          <w:lang w:eastAsia="ar-SA"/>
        </w:rPr>
        <w:t>&lt;mês&gt;</w:t>
      </w:r>
      <w:r>
        <w:rPr>
          <w:rFonts w:ascii="Calibri" w:hAnsi="Calibri" w:eastAsia="MS Mincho"/>
          <w:b/>
          <w:bCs/>
          <w:lang w:eastAsia="ar-SA"/>
        </w:rPr>
        <w:t xml:space="preserve"> de </w:t>
      </w:r>
      <w:r>
        <w:rPr>
          <w:rFonts w:ascii="Calibri" w:hAnsi="Calibri" w:eastAsia="MS Mincho"/>
          <w:b/>
          <w:bCs/>
          <w:color w:val="FF3333"/>
          <w:lang w:eastAsia="ar-SA"/>
        </w:rPr>
        <w:t>&lt;ano&gt;</w:t>
      </w:r>
    </w:p>
    <w:p>
      <w:pPr>
        <w:pageBreakBefore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tbl>
      <w:tblPr>
        <w:tblStyle w:val="9"/>
        <w:tblW w:w="9355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8"/>
        <w:gridCol w:w="850"/>
        <w:gridCol w:w="4072"/>
        <w:gridCol w:w="1425"/>
        <w:gridCol w:w="1580"/>
      </w:tblGrid>
      <w:tr>
        <w:tc>
          <w:tcPr>
            <w:tcW w:w="142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5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07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42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Fase*</w:t>
            </w:r>
          </w:p>
        </w:tc>
        <w:tc>
          <w:tcPr>
            <w:tcW w:w="1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9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XXXXXXXXXXXX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28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072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0"/>
              <w:spacing w:line="240" w:lineRule="auto"/>
              <w:ind w:left="0" w:firstLine="0"/>
              <w:rPr>
                <w:rFonts w:ascii="Calibri" w:hAnsi="Calibri" w:cs="Times New Roman"/>
                <w:color w:val="FF3333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tabs>
                <w:tab w:val="left" w:pos="-302"/>
              </w:tabs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XXXXXXXXXXXX</w:t>
            </w:r>
          </w:p>
        </w:tc>
      </w:tr>
    </w:tbl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  <w:r>
        <w:rPr>
          <w:rFonts w:ascii="Calibri" w:hAnsi="Calibri" w:eastAsia="MS Mincho"/>
          <w:sz w:val="20"/>
          <w:szCs w:val="20"/>
          <w:lang w:eastAsia="ar-SA"/>
        </w:rPr>
        <w:t>*Fase: Registro da fase do processo de contratação da solução de TIC relacionada à criação/alteração do Mapa de Gerenciamento de Riscos:</w:t>
      </w:r>
    </w:p>
    <w:p>
      <w:pPr>
        <w:pStyle w:val="4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PCTIC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Planejamento da Contratação;</w:t>
      </w:r>
    </w:p>
    <w:p>
      <w:pPr>
        <w:pStyle w:val="4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SFTIC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Seleção de Fornecedores;</w:t>
      </w:r>
    </w:p>
    <w:p>
      <w:pPr>
        <w:pStyle w:val="4"/>
        <w:tabs>
          <w:tab w:val="left" w:pos="800"/>
          <w:tab w:val="right" w:leader="dot" w:pos="9629"/>
        </w:tabs>
        <w:jc w:val="both"/>
      </w:pPr>
      <w:r>
        <w:rPr>
          <w:rFonts w:ascii="Calibri" w:hAnsi="Calibri" w:eastAsia="MS Mincho"/>
          <w:b/>
          <w:bCs/>
          <w:sz w:val="20"/>
          <w:szCs w:val="20"/>
          <w:lang w:eastAsia="ar-SA"/>
        </w:rPr>
        <w:t>GCTIC</w:t>
      </w:r>
      <w:r>
        <w:rPr>
          <w:rFonts w:ascii="Calibri" w:hAnsi="Calibri" w:eastAsia="MS Mincho"/>
          <w:sz w:val="20"/>
          <w:szCs w:val="20"/>
          <w:lang w:eastAsia="ar-SA"/>
        </w:rPr>
        <w:t xml:space="preserve"> – Gestão do Contrato.</w:t>
      </w: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sz w:val="20"/>
          <w:szCs w:val="20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center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  <w:t>ATENÇÃO!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sz w:val="28"/>
                <w:szCs w:val="28"/>
                <w:lang w:eastAsia="ar-SA"/>
              </w:rPr>
            </w:pPr>
          </w:p>
          <w:p>
            <w:pPr>
              <w:pStyle w:val="4"/>
              <w:tabs>
                <w:tab w:val="left" w:pos="800"/>
                <w:tab w:val="right" w:leader="dot" w:pos="9629"/>
              </w:tabs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 Os trechos marcados em vermelho neste documento são editáveis, notas explicativas ou exemplos, devendo ser substituídos ou excluídos, conforme necessidade&gt;.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rPr>
                <w:rFonts w:ascii="Calibri" w:hAnsi="Calibri" w:eastAsia="MS Mincho"/>
                <w:color w:val="FF3333"/>
                <w:lang w:eastAsia="ar-SA"/>
              </w:rPr>
            </w:pPr>
          </w:p>
          <w:p>
            <w:pPr>
              <w:pStyle w:val="4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&lt;Conforme ACÓRDÃO  172/2021 –PLENÁRIO, os órgãos e entidades federais tem dever legal de se realizar planejamento prévio de cada contratação de TIC, inclusive naquelas viabilizadas mediante adesão a ARPs, o que vai além do mero preenchimento formal dos artefatos previstos na legislação&gt;.</w:t>
            </w:r>
          </w:p>
          <w:p>
            <w:pPr>
              <w:pStyle w:val="4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>
      <w:pPr>
        <w:pStyle w:val="4"/>
        <w:tabs>
          <w:tab w:val="left" w:pos="800"/>
          <w:tab w:val="right" w:leader="dot" w:pos="9629"/>
        </w:tabs>
        <w:jc w:val="center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p>
      <w:pPr>
        <w:pStyle w:val="4"/>
        <w:tabs>
          <w:tab w:val="left" w:pos="800"/>
          <w:tab w:val="right" w:leader="dot" w:pos="9629"/>
        </w:tabs>
        <w:jc w:val="both"/>
        <w:rPr>
          <w:rFonts w:ascii="Calibri" w:hAnsi="Calibri" w:eastAsia="MS Mincho"/>
          <w:color w:val="FF0000"/>
          <w:sz w:val="28"/>
          <w:szCs w:val="28"/>
          <w:lang w:eastAsia="ar-SA"/>
        </w:rPr>
      </w:pPr>
    </w:p>
    <w:p>
      <w:pPr>
        <w:tabs>
          <w:tab w:val="left" w:pos="800"/>
          <w:tab w:val="right" w:leader="dot" w:pos="962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both"/>
        <w:rPr>
          <w:rFonts w:ascii="Calibri" w:hAnsi="Calibri" w:eastAsia="Times New Roman" w:cs="Verdana"/>
          <w:b/>
          <w:bCs/>
        </w:rPr>
      </w:pPr>
    </w:p>
    <w:p>
      <w:pPr>
        <w:pStyle w:val="4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t>MAPA DE GERENCIAMENTO DE RISCOS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>
            <w:pPr>
              <w:pStyle w:val="4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>
            <w:pPr>
              <w:pStyle w:val="4"/>
              <w:spacing w:after="119"/>
              <w:ind w:firstLine="283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Para cada risco identificado, define-se: a probabilidade de ocorrência dos eventos, os possíveis danos e impactos caso o risco ocorra, possíveis ações preventivas e de contingência (respostas aos riscos), a identificação de responsáveis pelas ações, bem como o registro e o acompanhamento das ações de tratamento dos riscos.</w:t>
            </w:r>
          </w:p>
          <w:p>
            <w:pPr>
              <w:pStyle w:val="4"/>
              <w:spacing w:after="119"/>
              <w:ind w:firstLine="283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Os riscos identificados no projeto devem ser registrados, avaliados e tratados:</w:t>
            </w:r>
          </w:p>
          <w:p>
            <w:pPr>
              <w:pStyle w:val="4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Durante a fase de planejamento, a equipe de Planejamento da Contratação deve proceder às ações de gerenciamento de riscos e produzir o Mapa de Gerenciamento de Riscos;</w:t>
            </w:r>
          </w:p>
          <w:p>
            <w:pPr>
              <w:pStyle w:val="4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Durante a fase de Seleção do Fornecedor, o Integrante Administrativo, com apoio dos Integrantes Técnico e Requisitante, deve proceder às ações de gerenciamento dos riscos e atualizar o Mapa de Gerenciamento de Riscos;</w:t>
            </w:r>
          </w:p>
          <w:p>
            <w:pPr>
              <w:pStyle w:val="4"/>
              <w:numPr>
                <w:ilvl w:val="0"/>
                <w:numId w:val="1"/>
              </w:numPr>
              <w:spacing w:after="119"/>
              <w:jc w:val="both"/>
              <w:rPr>
                <w:rFonts w:ascii="Calibri" w:hAnsi="Calibri" w:eastAsia="Arial" w:cs="Arial"/>
              </w:rPr>
            </w:pPr>
            <w:r>
              <w:rPr>
                <w:rFonts w:ascii="Calibri" w:hAnsi="Calibri" w:eastAsia="Arial" w:cs="Arial"/>
              </w:rPr>
              <w:t>Durante a fase de Gestão do Contrato, a Equipe de Fiscalização do Contrato, sob coordenação do Gestor do Contrato, deverá proceder à atualização contínua do Mapa de Gerenciamento de Riscos, procedendo à reavaliação dos riscos identificados nas fases anteriores com a atualização de suas respectivas ações de tratamento, e proceder também com a identificação, análise, avaliação e tratamento de novos riscos.</w:t>
            </w:r>
          </w:p>
          <w:p>
            <w:pPr>
              <w:pStyle w:val="4"/>
              <w:spacing w:after="238"/>
              <w:ind w:firstLine="283"/>
              <w:jc w:val="both"/>
            </w:pPr>
            <w:r>
              <w:rPr>
                <w:rFonts w:ascii="Calibri" w:hAnsi="Calibri" w:eastAsia="Arial" w:cs="Arial"/>
                <w:color w:val="FF3333"/>
              </w:rPr>
              <w:t xml:space="preserve">&lt;Como </w:t>
            </w:r>
            <w:r>
              <w:rPr>
                <w:rFonts w:ascii="Calibri" w:hAnsi="Calibri" w:eastAsia="Arial" w:cs="Arial"/>
                <w:b/>
                <w:bCs/>
                <w:color w:val="FF3333"/>
              </w:rPr>
              <w:t>exemplo</w:t>
            </w:r>
            <w:r>
              <w:rPr>
                <w:rFonts w:ascii="Calibri" w:hAnsi="Calibri" w:eastAsia="Arial" w:cs="Arial"/>
                <w:color w:val="FF3333"/>
              </w:rPr>
              <w:t>, parâmetros escalares podem ser utilizados para representar os níveis de probabilidade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Style w:val="9"/>
              <w:tblW w:w="5213" w:type="dxa"/>
              <w:tblInd w:w="2033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495"/>
              <w:gridCol w:w="2718"/>
            </w:tblGrid>
            <w:tr>
              <w:trPr>
                <w:tblHeader/>
              </w:trPr>
              <w:tc>
                <w:tcPr>
                  <w:tcW w:w="249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b/>
                      <w:bCs/>
                      <w:color w:val="FF3333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FF3333"/>
                    </w:rPr>
                    <w:t>Valor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495" w:type="dxa"/>
                  <w:tcBorders>
                    <w:left w:val="single" w:color="000000" w:sz="2" w:space="0"/>
                    <w:bottom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>
                  <w:pPr>
                    <w:pStyle w:val="15"/>
                    <w:jc w:val="center"/>
                    <w:rPr>
                      <w:rFonts w:ascii="Calibri" w:hAnsi="Calibri"/>
                      <w:color w:val="FF3333"/>
                    </w:rPr>
                  </w:pPr>
                  <w:r>
                    <w:rPr>
                      <w:rFonts w:ascii="Calibri" w:hAnsi="Calibri"/>
                      <w:color w:val="FF3333"/>
                    </w:rPr>
                    <w:t>15</w:t>
                  </w:r>
                </w:p>
              </w:tc>
            </w:tr>
          </w:tbl>
          <w:p>
            <w:pPr>
              <w:pStyle w:val="22"/>
              <w:spacing w:before="57" w:after="119"/>
              <w:jc w:val="center"/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i w:val="0"/>
                <w:iCs w:val="0"/>
                <w:color w:val="FF3333"/>
                <w:sz w:val="20"/>
                <w:szCs w:val="20"/>
              </w:rPr>
              <w:t>Tabela 1: Escala de classificação de probabilidade e impacto.</w:t>
            </w:r>
          </w:p>
          <w:p>
            <w:pPr>
              <w:pStyle w:val="5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</w:p>
          <w:p>
            <w:pPr>
              <w:pStyle w:val="5"/>
              <w:spacing w:after="340"/>
              <w:ind w:firstLine="283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 tabela a seguir apresenta a Matriz Probabilidade x Impacto, instrumento de apoio para a definição dos critérios de classificação do nível de risco.</w:t>
            </w:r>
          </w:p>
          <w:p>
            <w:pPr>
              <w:pStyle w:val="5"/>
              <w:spacing w:after="340"/>
              <w:ind w:left="2504"/>
              <w:jc w:val="both"/>
              <w:rPr>
                <w:rFonts w:ascii="Calibri" w:hAnsi="Calibri"/>
                <w:color w:val="FF3333"/>
              </w:rPr>
            </w:pPr>
            <w:r>
              <w:drawing>
                <wp:inline distT="0" distB="0" distL="0" distR="0">
                  <wp:extent cx="2895600" cy="16167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318" cy="162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9"/>
              <w:tblpPr w:leftFromText="45" w:rightFromText="45" w:vertAnchor="text"/>
              <w:tblW w:w="4951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4951" w:type="dxa"/>
                  <w:vAlign w:val="center"/>
                </w:tcPr>
                <w:p>
                  <w:pPr>
                    <w:widowControl/>
                    <w:suppressAutoHyphens w:val="0"/>
                    <w:autoSpaceDN/>
                    <w:rPr>
                      <w:rFonts w:eastAsia="Calibri" w:cs="Times New Roman"/>
                      <w:kern w:val="0"/>
                      <w:lang w:eastAsia="pt-BR" w:bidi="ar-SA"/>
                    </w:rPr>
                  </w:pPr>
                </w:p>
              </w:tc>
            </w:tr>
          </w:tbl>
          <w:p>
            <w:pPr>
              <w:pStyle w:val="5"/>
              <w:spacing w:after="119"/>
              <w:ind w:firstLine="283"/>
              <w:jc w:val="both"/>
              <w:rPr>
                <w:rFonts w:ascii="Calibri" w:hAnsi="Calibri" w:eastAsia="Arial" w:cs="Arial"/>
                <w:color w:val="FF3333"/>
              </w:rPr>
            </w:pPr>
            <w:r>
              <w:rPr>
                <w:rFonts w:ascii="Calibri" w:hAnsi="Calibri" w:eastAsia="Arial" w:cs="Arial"/>
                <w:color w:val="FF3333"/>
              </w:rPr>
              <w:t>Exemplo de diretrizes de tratamento de riscos:</w:t>
            </w:r>
          </w:p>
          <w:p>
            <w:pPr>
              <w:pStyle w:val="5"/>
              <w:spacing w:after="119"/>
              <w:ind w:firstLine="283"/>
              <w:jc w:val="both"/>
              <w:rPr>
                <w:rFonts w:ascii="Calibri" w:hAnsi="Calibri" w:eastAsia="Arial" w:cs="Arial"/>
                <w:i/>
                <w:iCs/>
                <w:color w:val="FF3333"/>
              </w:rPr>
            </w:pPr>
            <w:r>
              <w:rPr>
                <w:rFonts w:ascii="Calibri" w:hAnsi="Calibri" w:eastAsia="Arial" w:cs="Arial"/>
                <w:i/>
                <w:iCs/>
                <w:color w:val="FF3333"/>
              </w:rPr>
      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 Se estiver na região amarela, entende-se como médio; e se estiver na região vermelha, entende-se como nível de risco alto. Nos casos de riscos classificados como médio e alto, deve-se adotar obrigatoriamente as medidas preventivas previstas.</w:t>
            </w:r>
          </w:p>
          <w:p>
            <w:pPr>
              <w:pStyle w:val="5"/>
              <w:spacing w:after="119"/>
              <w:ind w:firstLine="283"/>
              <w:jc w:val="both"/>
              <w:rPr>
                <w:rFonts w:ascii="Calibri" w:hAnsi="Calibri" w:eastAsia="Arial" w:cs="Arial"/>
                <w:i/>
                <w:iCs/>
                <w:color w:val="FF3333"/>
              </w:rPr>
            </w:pPr>
            <w:r>
              <w:rPr>
                <w:rFonts w:ascii="Calibri" w:hAnsi="Calibri" w:eastAsia="Arial" w:cs="Arial"/>
                <w:i/>
                <w:iCs/>
                <w:color w:val="FF3333"/>
              </w:rPr>
              <w:t>O gerenciamento de riscos deve ser realizado em harmonia com a Política de Gestão de Riscos do órgão prevista na Instrução Normativa Conjunta MP/CGU nº 1, de 10 de maio de 2016, registrando-se o alinhamento no Mapa de Gerenciamento de Riscos&gt;.</w:t>
            </w:r>
          </w:p>
          <w:p>
            <w:pPr>
              <w:snapToGrid w:val="0"/>
              <w:spacing w:after="119"/>
              <w:jc w:val="both"/>
            </w:pPr>
            <w:r>
              <w:rPr>
                <w:rFonts w:ascii="Calibri" w:hAnsi="Calibri" w:cs="Arial"/>
                <w:b/>
                <w:bCs/>
              </w:rPr>
              <w:t>Referência: Art. 38 IN SGD/ME nº 94, de 2022.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IDENTIFICAÇÃO E ANÁLISE DOS PRINCIPAIS RISCOS</w:t>
            </w:r>
          </w:p>
        </w:tc>
      </w:tr>
    </w:tbl>
    <w:p>
      <w:pPr>
        <w:pStyle w:val="4"/>
        <w:snapToGrid w:val="0"/>
        <w:spacing w:after="119"/>
        <w:jc w:val="both"/>
        <w:rPr>
          <w:rFonts w:ascii="Calibri" w:hAnsi="Calibri" w:eastAsia="Arial" w:cs="Arial"/>
        </w:rPr>
      </w:pPr>
      <w:r>
        <w:rPr>
          <w:rFonts w:ascii="Calibri" w:hAnsi="Calibri" w:eastAsia="Arial" w:cs="Arial"/>
        </w:rPr>
        <w:t>A tabela a seguir apresenta uma síntese dos riscos identificados e classificados neste documento.</w:t>
      </w:r>
    </w:p>
    <w:tbl>
      <w:tblPr>
        <w:tblStyle w:val="9"/>
        <w:tblW w:w="9425" w:type="dxa"/>
        <w:tblInd w:w="-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0"/>
        <w:gridCol w:w="4305"/>
        <w:gridCol w:w="2010"/>
        <w:gridCol w:w="420"/>
        <w:gridCol w:w="690"/>
        <w:gridCol w:w="15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4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Risco</w:t>
            </w:r>
          </w:p>
        </w:tc>
        <w:tc>
          <w:tcPr>
            <w:tcW w:w="201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Relacionado ao(à):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  </w:t>
            </w: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I  </w:t>
            </w:r>
          </w:p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Nível de Risco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(P x I)  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01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Legenda: P – Probabilidade; I – Impacto.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1</w:t>
      </w:r>
      <w:r>
        <w:rPr>
          <w:rFonts w:ascii="Calibri" w:hAnsi="Calibri" w:cs="Arial"/>
          <w:i/>
          <w:iCs/>
          <w:sz w:val="20"/>
          <w:szCs w:val="20"/>
        </w:rPr>
        <w:t xml:space="preserve"> A qual natureza o risco está associado: fases do Processo da Contratação ou Solução Tecnológica.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2</w:t>
      </w:r>
      <w:r>
        <w:rPr>
          <w:rFonts w:ascii="Calibri" w:hAnsi="Calibri" w:cs="Arial"/>
          <w:i/>
          <w:iCs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3</w:t>
      </w:r>
      <w:r>
        <w:rPr>
          <w:rFonts w:ascii="Calibri" w:hAnsi="Calibri" w:cs="Arial"/>
          <w:i/>
          <w:iCs/>
          <w:sz w:val="20"/>
          <w:szCs w:val="20"/>
        </w:rPr>
        <w:t xml:space="preserve"> Impacto: resultado de um evento que afeta os objetivos (ISO/IEC 31000:2009, item 2.18).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4</w:t>
      </w:r>
      <w:r>
        <w:rPr>
          <w:rFonts w:ascii="Calibri" w:hAnsi="Calibri" w:cs="Arial"/>
          <w:i/>
          <w:iCs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94, de 2022, art. 2º, inciso XIII).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i/>
          <w:iCs/>
          <w:color w:val="FF3333"/>
        </w:rPr>
        <w:t>&lt;Lembrete: As probabilidades e Impactos são inicialmente definidos no item 3 – Avaliação e Tratamento dos Riscos Identificados, e transferidos para a tabela acima para o cálculo dos níveis de risco&gt;.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p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</w:pPr>
      <w:r>
        <w:rPr>
          <w:rFonts w:ascii="Calibri" w:hAnsi="Calibri" w:cs="Arial"/>
          <w:color w:val="FF3333"/>
        </w:rPr>
        <w:t xml:space="preserve">&lt;A seguir encontra-se um </w:t>
      </w:r>
      <w:r>
        <w:rPr>
          <w:rFonts w:ascii="Calibri" w:hAnsi="Calibri" w:cs="Arial"/>
          <w:b/>
          <w:bCs/>
          <w:color w:val="FF3333"/>
        </w:rPr>
        <w:t>exemplo</w:t>
      </w:r>
      <w:r>
        <w:rPr>
          <w:rFonts w:ascii="Calibri" w:hAnsi="Calibri" w:cs="Arial"/>
          <w:color w:val="FF3333"/>
        </w:rPr>
        <w:t xml:space="preserve"> de relação de riscos, não exaustiva, de uma contratação de serviços de desenvolvimento e manutenção de software&gt;.</w:t>
      </w:r>
    </w:p>
    <w:p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  <w:sz w:val="16"/>
          <w:szCs w:val="16"/>
        </w:rPr>
      </w:pPr>
    </w:p>
    <w:tbl>
      <w:tblPr>
        <w:tblStyle w:val="9"/>
        <w:tblW w:w="9420" w:type="dxa"/>
        <w:tblInd w:w="-8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0"/>
        <w:gridCol w:w="4713"/>
        <w:gridCol w:w="1767"/>
        <w:gridCol w:w="465"/>
        <w:gridCol w:w="480"/>
        <w:gridCol w:w="15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Nível de Risco</w:t>
            </w:r>
          </w:p>
          <w:p>
            <w:pPr>
              <w:pStyle w:val="15"/>
              <w:jc w:val="center"/>
              <w:rPr>
                <w:rFonts w:ascii="Calibri" w:hAnsi="Calibri"/>
                <w:b/>
                <w:bCs/>
                <w:color w:val="FF3333"/>
              </w:rPr>
            </w:pPr>
            <w:r>
              <w:rPr>
                <w:rFonts w:ascii="Calibri" w:hAnsi="Calibri"/>
                <w:b/>
                <w:bCs/>
                <w:color w:val="FF3333"/>
              </w:rPr>
              <w:t>(P x I)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clareza pelo requisitante quanto às demandas a serem desenvolvidas e manutenidas.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Ausência do Processo de Desenvolvimento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Ausência dos </w:t>
            </w:r>
            <w:r>
              <w:rPr>
                <w:rFonts w:ascii="Calibri" w:hAnsi="Calibri"/>
                <w:i/>
                <w:iCs/>
                <w:color w:val="FF3333"/>
                <w:sz w:val="20"/>
                <w:szCs w:val="20"/>
              </w:rPr>
              <w:t>templates</w:t>
            </w:r>
            <w:r>
              <w:rPr>
                <w:rFonts w:ascii="Calibri" w:hAnsi="Calibri"/>
                <w:color w:val="FF3333"/>
                <w:sz w:val="20"/>
                <w:szCs w:val="20"/>
              </w:rPr>
              <w:t xml:space="preserve"> dos documentos do Processo de Desenvolvimento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Prazo insuficiente para a adequada realização do planejamento da contratação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Contratação de fornecedor com baixa qualificação técnica.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Falta de dotação orçamentária para execução do contrato.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R13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4713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Vazamento de dados e informações pelos funcionários da contratada.</w:t>
            </w:r>
          </w:p>
        </w:tc>
        <w:tc>
          <w:tcPr>
            <w:tcW w:w="1767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R16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Ausência de ferramentas para controle do ciclo de desenvolvimento e manutenção de software (ferramenta de testes, repositório com versionamento, ferramenta de integração contínua, ferramenta de análise de qualidade de código).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R17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</w:pPr>
            <w:r>
              <w:rPr>
                <w:rFonts w:ascii="Calibri" w:hAnsi="Calibri"/>
                <w:color w:val="FF3333"/>
                <w:sz w:val="20"/>
              </w:rPr>
              <w:t>R18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</w:pPr>
            <w:r>
              <w:rPr>
                <w:rFonts w:ascii="Calibri" w:hAnsi="Calibri"/>
                <w:color w:val="FF3333"/>
                <w:sz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ind w:left="4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R19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both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Descumprimento dos níveis de serviço previstos no Planejamento da Contratação.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FF3333"/>
                <w:sz w:val="20"/>
              </w:rPr>
            </w:pPr>
            <w:r>
              <w:rPr>
                <w:rFonts w:ascii="Calibri" w:hAnsi="Calibri"/>
                <w:color w:val="FF3333"/>
                <w:sz w:val="20"/>
              </w:rPr>
              <w:t>Gestão Contratual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tbl>
      <w:tblPr>
        <w:tblStyle w:val="9"/>
        <w:tblW w:w="9434" w:type="dxa"/>
        <w:tblInd w:w="-7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AVALIAÇÃO E TRATAMENTO DOS RISCOS IDENTIFICADOS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&lt;Riscos do processo de contratação (planejamento, seleção de fornecedores e gestão do contrato), ou qualquer outro risco relevante relacionado à solução de Tecnologia da Informação e Comunicação identificados&gt;.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&lt;Para o tratamento de riscos, as seguintes opções podem ser selecionadas: evitar, reduzir ou mitigar, transferir ou compartilhar, e aceitar ou tolerar o risco&gt;.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color w:val="FF3333"/>
        </w:rPr>
      </w:pPr>
      <w:r>
        <w:rPr>
          <w:rFonts w:ascii="Calibri" w:hAnsi="Calibri" w:cs="Arial"/>
          <w:color w:val="FF3333"/>
        </w:rPr>
        <w:t>&lt;A seguir são apresentados alguns riscos meramente exemplificativos&gt;.</w:t>
      </w:r>
    </w:p>
    <w:p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/>
          <w:color w:val="FF3333"/>
        </w:rPr>
      </w:pPr>
    </w:p>
    <w:tbl>
      <w:tblPr>
        <w:tblStyle w:val="9"/>
        <w:tblW w:w="9513" w:type="dxa"/>
        <w:tblInd w:w="-7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0"/>
        <w:gridCol w:w="525"/>
        <w:gridCol w:w="1150"/>
        <w:gridCol w:w="5275"/>
        <w:gridCol w:w="18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ou suspensão no processo licitatório em face de impugnações.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Médio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Atraso na contratação e consequente indisponibilidade de sistemas por falta de manutenção em funcionalidades, acarretando a insatisfação e prejuízos aos usuários dos sistemas.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4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Elaboração do planejamento da contratação consultando soluções similares em outros órgãos.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7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0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5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Equipe de</w:t>
            </w:r>
          </w:p>
          <w:p>
            <w:pPr>
              <w:ind w:left="15" w:right="1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Planejamento da Contratação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2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Alocação integral da Equipe de Planejamento da Contratação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XXXXX</w:t>
            </w: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</w:pPr>
    </w:p>
    <w:tbl>
      <w:tblPr>
        <w:tblStyle w:val="9"/>
        <w:tblW w:w="9488" w:type="dxa"/>
        <w:tblInd w:w="-6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8"/>
        <w:gridCol w:w="425"/>
        <w:gridCol w:w="1262"/>
        <w:gridCol w:w="5438"/>
        <w:gridCol w:w="16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center"/>
            </w:pPr>
            <w:r>
              <w:rPr>
                <w:rFonts w:ascii="Calibri" w:hAnsi="Calibri"/>
                <w:b/>
                <w:color w:val="FF3333"/>
              </w:rPr>
              <w:t>Risco 17</w:t>
            </w: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Expedição de demandas (solicitações de execução do objeto) além da capacidade de controle e de fiscalização.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Alto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r>
              <w:rPr>
                <w:rFonts w:ascii="Calibri" w:hAnsi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Sobrecarga de trabalho para os fiscais do contrato.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right="5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Fragilidades na gestão e fiscalização contratual, que geraram atestes errados dos resultados entregues e risco de pagamentos indevidos à empresa.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Execução de projetos de sistemas e portais (novos e manutenção) sem acompanhamento da área de TIC ou com acompanhamento por pessoal sem a qualificação adequada, acarretando má qualidade nos produtos entregues.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right="3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Fragilidade do processo de gestão de requisitos.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87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r>
              <w:rPr>
                <w:rFonts w:ascii="Calibri" w:hAnsi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Mitigar.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3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Preventiva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</w:tcPr>
          <w:p>
            <w:pPr>
              <w:ind w:right="2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ind w:left="8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Chefia da CGTI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pStyle w:val="4"/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Priorizar as demandas de software a serem desenvolvidas.</w:t>
            </w:r>
          </w:p>
          <w:p>
            <w:pPr>
              <w:ind w:right="4"/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(Referência: Portaria STI/MP nº 20/2016, item 19.1 – O Comitê de Governança Digital é responsável pela validação e priorização de cada software a ser desenvolvido e deve deliberar e decidir sobre sua viabilidade e desenvolvimento antes de sua contratação ou antes que a demanda seja enviada à empresa contratada por meio de OS).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4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(CGD)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42"/>
            </w:pPr>
            <w:r>
              <w:rPr>
                <w:rFonts w:ascii="Calibri" w:hAnsi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1"/>
              <w:jc w:val="center"/>
            </w:pPr>
            <w:r>
              <w:rPr>
                <w:rFonts w:ascii="Calibri" w:hAnsi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148"/>
            </w:pPr>
            <w:r>
              <w:rPr>
                <w:rFonts w:ascii="Calibri" w:hAnsi="Calibri"/>
                <w:b/>
                <w:color w:val="FF3333"/>
              </w:rPr>
              <w:t>Responsável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widowControl/>
              <w:suppressAutoHyphens w:val="0"/>
              <w:spacing w:after="200" w:line="276" w:lineRule="auto"/>
              <w:rPr>
                <w:rFonts w:ascii="Calibri" w:hAnsi="Calibri" w:eastAsia="Calibri" w:cs="Times New Roman"/>
                <w:kern w:val="0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CGTI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94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Implantação de controles internos, como a realização de estudo da capacidade de execução de demandas de fábrica de software pela área de TI, a fim de compatibilizar as demandas de serviços à fábrica de software com a força de trabalho disponível para gerenciar e validar adequadamente os serviços entregues.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>
            <w:pPr>
              <w:ind w:left="204" w:right="34" w:hanging="60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Comitê de Governança Digital e Chefia da</w:t>
            </w:r>
          </w:p>
          <w:p>
            <w:pPr>
              <w:ind w:left="2"/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CGTI</w:t>
            </w:r>
          </w:p>
        </w:tc>
      </w:tr>
    </w:tbl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&lt;Inclusão de outros riscos e suas análises&gt;.</w:t>
      </w: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FF3333"/>
        </w:rPr>
      </w:pPr>
    </w:p>
    <w:p>
      <w:pPr>
        <w:pStyle w:val="4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  <w:color w:val="0000FF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ACOMPANHAMENTO DAS AÇÕES DE TRATAMENTO DE RISCOS</w:t>
            </w:r>
          </w:p>
        </w:tc>
      </w:tr>
    </w:tbl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&lt;Espaço para registro e acompanhamento das ações de tratamento dos riscos, que poderá conter eventos relevantes relacionados ao gerenciamento de riscos, conforme exemplo abaixo&gt;.</w:t>
      </w: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FF3333"/>
        </w:rPr>
      </w:pPr>
    </w:p>
    <w:tbl>
      <w:tblPr>
        <w:tblStyle w:val="9"/>
        <w:tblW w:w="9363" w:type="dxa"/>
        <w:tblInd w:w="-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2"/>
        <w:gridCol w:w="656"/>
        <w:gridCol w:w="987"/>
        <w:gridCol w:w="62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atLeast"/>
        </w:trPr>
        <w:tc>
          <w:tcPr>
            <w:tcW w:w="1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DD/MM/AAAA</w:t>
            </w: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R17</w:t>
            </w: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  <w:r>
              <w:rPr>
                <w:rFonts w:ascii="Calibri" w:hAnsi="Calibri"/>
                <w:color w:val="FF3333"/>
                <w:sz w:val="20"/>
                <w:szCs w:val="20"/>
              </w:rPr>
              <w:t>O Comitê de Governança Digital se reuniu em DD/MM/AAAA e deliberou quanto à lista dos sistemas prioritários a terem suas demandas executadas pela empresa de desenvolvimento de software.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</w:trPr>
        <w:tc>
          <w:tcPr>
            <w:tcW w:w="1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4"/>
              <w:jc w:val="both"/>
              <w:rPr>
                <w:rFonts w:ascii="Calibri" w:hAnsi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p>
      <w:pPr>
        <w:pStyle w:val="4"/>
        <w:tabs>
          <w:tab w:val="left" w:pos="569"/>
          <w:tab w:val="left" w:pos="854"/>
          <w:tab w:val="left" w:pos="1154"/>
          <w:tab w:val="left" w:pos="1409"/>
          <w:tab w:val="left" w:pos="1664"/>
          <w:tab w:val="left" w:pos="1979"/>
          <w:tab w:val="left" w:pos="2234"/>
          <w:tab w:val="left" w:leader="underscore" w:pos="7350"/>
        </w:tabs>
        <w:spacing w:before="57" w:after="57"/>
        <w:ind w:left="14"/>
        <w:jc w:val="both"/>
        <w:rPr>
          <w:rFonts w:ascii="Calibri" w:hAnsi="Calibri"/>
          <w:color w:val="0000FF"/>
        </w:rPr>
      </w:pPr>
    </w:p>
    <w:tbl>
      <w:tblPr>
        <w:tblStyle w:val="9"/>
        <w:tblW w:w="9355" w:type="dxa"/>
        <w:tblInd w:w="-1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4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APROVAÇÃO E ASSINATURA</w:t>
            </w:r>
          </w:p>
        </w:tc>
      </w:tr>
    </w:tbl>
    <w:p>
      <w:pPr>
        <w:pStyle w:val="5"/>
        <w:spacing w:after="0"/>
        <w:jc w:val="both"/>
        <w:rPr>
          <w:rFonts w:ascii="Calibri" w:hAnsi="Calibri"/>
        </w:rPr>
      </w:pPr>
    </w:p>
    <w:p>
      <w:pPr>
        <w:pStyle w:val="5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Conforme § 5º do art. 38 da IN SGD/ME nº 94, de 2022, o Mapa de Gerenciamento de Riscos deve ser assinado pela Equipe de Planejamento da Contratação, nas fases de Planejamento da Contratação e de Seleção de Fornecedores, e pela Equipe de Fiscalização e Gestor do Contrato, na fase de Gestão do Contrato.</w:t>
      </w:r>
    </w:p>
    <w:p>
      <w:pPr>
        <w:pStyle w:val="5"/>
        <w:spacing w:after="0"/>
        <w:jc w:val="both"/>
        <w:rPr>
          <w:rFonts w:ascii="Calibri" w:hAnsi="Calibri"/>
        </w:rPr>
      </w:pPr>
    </w:p>
    <w:p>
      <w:pPr>
        <w:pStyle w:val="5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as fases de Planejamento da Contratação e de Seleção de Fornecedores:</w:t>
      </w:r>
    </w:p>
    <w:p>
      <w:pPr>
        <w:pStyle w:val="5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tbl>
      <w:tblPr>
        <w:tblStyle w:val="9"/>
        <w:tblW w:w="9363" w:type="dxa"/>
        <w:tblInd w:w="-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50"/>
        <w:gridCol w:w="2963"/>
        <w:gridCol w:w="31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Integrante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>
      <w:pPr>
        <w:pStyle w:val="15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  <w:r>
        <w:rPr>
          <w:rFonts w:ascii="Calibri" w:hAnsi="Calibri"/>
          <w:color w:val="FF3333"/>
        </w:rPr>
        <w:t>&lt;Local&gt;</w:t>
      </w:r>
      <w:r>
        <w:rPr>
          <w:rFonts w:ascii="Calibri" w:hAnsi="Calibri"/>
        </w:rPr>
        <w:t>,</w:t>
      </w:r>
      <w:r>
        <w:rPr>
          <w:rFonts w:ascii="Calibri" w:hAnsi="Calibri"/>
          <w:color w:val="FF3333"/>
        </w:rPr>
        <w:t xml:space="preserve"> &lt;dia&gt;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&lt;mês&gt; </w:t>
      </w:r>
      <w:r>
        <w:rPr>
          <w:rFonts w:ascii="Calibri" w:hAnsi="Calibri"/>
        </w:rPr>
        <w:t>de</w:t>
      </w:r>
      <w:r>
        <w:rPr>
          <w:rFonts w:ascii="Calibri" w:hAnsi="Calibri"/>
          <w:color w:val="FF3333"/>
        </w:rPr>
        <w:t xml:space="preserve"> &lt;ano&gt;</w:t>
      </w:r>
    </w:p>
    <w:p>
      <w:pPr>
        <w:pStyle w:val="15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right"/>
        <w:rPr>
          <w:rFonts w:ascii="Calibri" w:hAnsi="Calibri"/>
          <w:color w:val="FF3333"/>
        </w:rPr>
      </w:pPr>
    </w:p>
    <w:p>
      <w:pPr>
        <w:pStyle w:val="15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&lt;Para a fase de Gestão do Contratos:</w:t>
      </w:r>
    </w:p>
    <w:p>
      <w:pPr>
        <w:pStyle w:val="5"/>
        <w:ind w:left="1008"/>
        <w:jc w:val="both"/>
        <w:rPr>
          <w:rFonts w:ascii="Calibri" w:hAnsi="Calibri"/>
          <w:color w:val="FF3333"/>
        </w:rPr>
      </w:pPr>
      <w:r>
        <w:rPr>
          <w:rFonts w:ascii="Calibri" w:hAnsi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>
      <w:pPr>
        <w:pStyle w:val="5"/>
        <w:jc w:val="both"/>
        <w:rPr>
          <w:rFonts w:ascii="Calibri" w:hAnsi="Calibri"/>
        </w:rPr>
      </w:pPr>
    </w:p>
    <w:tbl>
      <w:tblPr>
        <w:tblStyle w:val="9"/>
        <w:tblW w:w="9363" w:type="dxa"/>
        <w:tblInd w:w="-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50"/>
        <w:gridCol w:w="2963"/>
        <w:gridCol w:w="31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3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</w:rPr>
            </w:pP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Requisitante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2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</w:rPr>
            </w:pP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Técnico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5"/>
              <w:jc w:val="center"/>
              <w:rPr>
                <w:rFonts w:ascii="Calibri" w:hAnsi="Calibri"/>
                <w:b/>
              </w:rPr>
            </w:pP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Fiscal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Administrativo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>
      <w:pPr>
        <w:pStyle w:val="15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</w:pPr>
    </w:p>
    <w:tbl>
      <w:tblPr>
        <w:tblStyle w:val="9"/>
        <w:tblW w:w="9388" w:type="dxa"/>
        <w:tblInd w:w="-2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3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pStyle w:val="15"/>
              <w:jc w:val="center"/>
              <w:rPr>
                <w:rFonts w:ascii="Calibri" w:hAnsi="Calibri"/>
              </w:rPr>
            </w:pP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____________________</w:t>
            </w:r>
          </w:p>
          <w:p>
            <w:pPr>
              <w:pStyle w:val="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Gestor do Contrato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&lt;Nome&gt;</w:t>
            </w:r>
          </w:p>
          <w:p>
            <w:pPr>
              <w:pStyle w:val="15"/>
              <w:jc w:val="center"/>
              <w:rPr>
                <w:rFonts w:ascii="Calibri" w:hAnsi="Calibri"/>
                <w:i/>
                <w:color w:val="FF3333"/>
                <w:sz w:val="22"/>
              </w:rPr>
            </w:pPr>
            <w:r>
              <w:rPr>
                <w:rFonts w:ascii="Calibri" w:hAnsi="Calibri"/>
                <w:i/>
                <w:color w:val="FF3333"/>
                <w:sz w:val="22"/>
              </w:rPr>
              <w:t>&lt;Cargo&gt;</w:t>
            </w:r>
          </w:p>
          <w:p>
            <w:pPr>
              <w:pStyle w:val="15"/>
              <w:jc w:val="center"/>
            </w:pPr>
            <w:r>
              <w:rPr>
                <w:rFonts w:ascii="Calibri" w:hAnsi="Calibri"/>
                <w:b/>
                <w:i/>
                <w:color w:val="FF3333"/>
                <w:sz w:val="22"/>
              </w:rPr>
              <w:t xml:space="preserve"> </w:t>
            </w:r>
            <w:r>
              <w:rPr>
                <w:rFonts w:ascii="Calibri" w:hAnsi="Calibri"/>
                <w:i/>
                <w:color w:val="FF3333"/>
                <w:sz w:val="22"/>
              </w:rPr>
              <w:t>&lt;Matrícula&gt;</w:t>
            </w:r>
          </w:p>
        </w:tc>
      </w:tr>
    </w:tbl>
    <w:p>
      <w:pPr>
        <w:pStyle w:val="5"/>
        <w:spacing w:before="120" w:after="0"/>
        <w:ind w:left="360"/>
        <w:jc w:val="right"/>
      </w:pPr>
      <w:r>
        <w:rPr>
          <w:rFonts w:ascii="Calibri" w:hAnsi="Calibri"/>
          <w:color w:val="FF3333"/>
        </w:rPr>
        <w:t xml:space="preserve">Local, </w:t>
      </w:r>
      <w:r>
        <w:rPr>
          <w:rFonts w:ascii="Calibri" w:hAnsi="Calibri"/>
          <w:i/>
          <w:color w:val="FF3333"/>
        </w:rPr>
        <w:t xml:space="preserve">&lt;dia&gt; </w:t>
      </w:r>
      <w:r>
        <w:rPr>
          <w:rFonts w:ascii="Calibri" w:hAnsi="Calibri"/>
          <w:color w:val="FF3333"/>
        </w:rPr>
        <w:t xml:space="preserve">de </w:t>
      </w:r>
      <w:r>
        <w:rPr>
          <w:rFonts w:ascii="Calibri" w:hAnsi="Calibri"/>
          <w:i/>
          <w:color w:val="FF3333"/>
        </w:rPr>
        <w:t>&lt;mês&gt;</w:t>
      </w:r>
      <w:r>
        <w:rPr>
          <w:rFonts w:ascii="Calibri" w:hAnsi="Calibri"/>
          <w:color w:val="FF3333"/>
        </w:rPr>
        <w:t xml:space="preserve"> de </w:t>
      </w:r>
      <w:r>
        <w:rPr>
          <w:rFonts w:ascii="Calibri" w:hAnsi="Calibri"/>
          <w:i/>
          <w:color w:val="FF3333"/>
        </w:rPr>
        <w:t>&lt;ano&gt;</w:t>
      </w:r>
      <w:r>
        <w:rPr>
          <w:rFonts w:ascii="Calibri" w:hAnsi="Calibri"/>
          <w:color w:val="FF3333"/>
        </w:rPr>
        <w:t>.</w:t>
      </w:r>
    </w:p>
    <w:sectPr>
      <w:headerReference r:id="rId5" w:type="default"/>
      <w:footerReference r:id="rId6" w:type="default"/>
      <w:pgSz w:w="11906" w:h="16838"/>
      <w:pgMar w:top="2647" w:right="1134" w:bottom="1644" w:left="1417" w:header="1134" w:footer="11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9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363" w:type="dxa"/>
      <w:tblInd w:w="0" w:type="dxa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9363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1065" w:hRule="atLeast"/>
      </w:trPr>
      <w:tc>
        <w:tcPr>
          <w:tcW w:w="9363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>
          <w:pPr>
            <w:pStyle w:val="15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A3AC3"/>
    <w:multiLevelType w:val="multilevel"/>
    <w:tmpl w:val="743A3AC3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10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4F"/>
    <w:rsid w:val="0002646A"/>
    <w:rsid w:val="001B151E"/>
    <w:rsid w:val="0034310A"/>
    <w:rsid w:val="003A58AC"/>
    <w:rsid w:val="00587D3B"/>
    <w:rsid w:val="00660117"/>
    <w:rsid w:val="006C58BF"/>
    <w:rsid w:val="008427BB"/>
    <w:rsid w:val="00875281"/>
    <w:rsid w:val="008E374F"/>
    <w:rsid w:val="00916905"/>
    <w:rsid w:val="009334CA"/>
    <w:rsid w:val="00A667DE"/>
    <w:rsid w:val="00B01C49"/>
    <w:rsid w:val="00B551C8"/>
    <w:rsid w:val="00C67C68"/>
    <w:rsid w:val="00C852FA"/>
    <w:rsid w:val="00D21D8D"/>
    <w:rsid w:val="00FB0922"/>
    <w:rsid w:val="049F76EA"/>
    <w:rsid w:val="08251927"/>
    <w:rsid w:val="096243B3"/>
    <w:rsid w:val="09F5FB3B"/>
    <w:rsid w:val="13401FF6"/>
    <w:rsid w:val="16BB55E6"/>
    <w:rsid w:val="1F6C019D"/>
    <w:rsid w:val="2100E192"/>
    <w:rsid w:val="2145D881"/>
    <w:rsid w:val="245D219B"/>
    <w:rsid w:val="28E4E1BF"/>
    <w:rsid w:val="2FC48CA0"/>
    <w:rsid w:val="355B16E7"/>
    <w:rsid w:val="3CE3695A"/>
    <w:rsid w:val="417107DC"/>
    <w:rsid w:val="4337C48D"/>
    <w:rsid w:val="4A2F6487"/>
    <w:rsid w:val="4A5B5058"/>
    <w:rsid w:val="5316A2A7"/>
    <w:rsid w:val="538CDD81"/>
    <w:rsid w:val="584EF0B1"/>
    <w:rsid w:val="59594B50"/>
    <w:rsid w:val="698E0A08"/>
    <w:rsid w:val="6B612410"/>
    <w:rsid w:val="6CDD769F"/>
    <w:rsid w:val="6DCA1A89"/>
    <w:rsid w:val="72854140"/>
    <w:rsid w:val="74C0E399"/>
    <w:rsid w:val="7C699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hi-IN" w:bidi="hi-IN"/>
    </w:rPr>
  </w:style>
  <w:style w:type="paragraph" w:styleId="2">
    <w:name w:val="heading 1"/>
    <w:basedOn w:val="3"/>
    <w:next w:val="5"/>
    <w:qFormat/>
    <w:uiPriority w:val="9"/>
    <w:pPr>
      <w:outlineLvl w:val="0"/>
    </w:pPr>
  </w:style>
  <w:style w:type="paragraph" w:styleId="6">
    <w:name w:val="heading 2"/>
    <w:basedOn w:val="3"/>
    <w:next w:val="5"/>
    <w:semiHidden/>
    <w:unhideWhenUsed/>
    <w:qFormat/>
    <w:uiPriority w:val="9"/>
    <w:pPr>
      <w:outlineLvl w:val="1"/>
    </w:pPr>
    <w:rPr>
      <w:i/>
      <w:iCs/>
    </w:rPr>
  </w:style>
  <w:style w:type="paragraph" w:styleId="7">
    <w:name w:val="heading 3"/>
    <w:basedOn w:val="3"/>
    <w:next w:val="5"/>
    <w:semiHidden/>
    <w:unhideWhenUsed/>
    <w:qFormat/>
    <w:uiPriority w:val="9"/>
    <w:pPr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next w:val="5"/>
    <w:uiPriority w:val="0"/>
    <w:pPr>
      <w:jc w:val="center"/>
    </w:pPr>
    <w:rPr>
      <w:b/>
      <w:bCs/>
      <w:sz w:val="36"/>
      <w:szCs w:val="36"/>
    </w:rPr>
  </w:style>
  <w:style w:type="paragraph" w:customStyle="1" w:styleId="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Tahoma"/>
      <w:kern w:val="3"/>
      <w:sz w:val="24"/>
      <w:szCs w:val="24"/>
      <w:lang w:val="pt-BR" w:eastAsia="zh-CN" w:bidi="hi-IN"/>
    </w:rPr>
  </w:style>
  <w:style w:type="paragraph" w:customStyle="1" w:styleId="5">
    <w:name w:val="Text body"/>
    <w:basedOn w:val="4"/>
    <w:uiPriority w:val="0"/>
    <w:pPr>
      <w:spacing w:after="120"/>
    </w:pPr>
  </w:style>
  <w:style w:type="paragraph" w:styleId="10">
    <w:name w:val="head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1">
    <w:name w:val="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styleId="12">
    <w:name w:val="caption"/>
    <w:basedOn w:val="4"/>
    <w:uiPriority w:val="0"/>
    <w:pPr>
      <w:suppressLineNumbers/>
      <w:spacing w:before="120" w:after="120"/>
    </w:pPr>
    <w:rPr>
      <w:rFonts w:cs="Mangal"/>
      <w:i/>
      <w:iCs/>
    </w:rPr>
  </w:style>
  <w:style w:type="paragraph" w:styleId="13">
    <w:name w:val="Subtitle"/>
    <w:basedOn w:val="3"/>
    <w:next w:val="5"/>
    <w:qFormat/>
    <w:uiPriority w:val="11"/>
    <w:rPr>
      <w:i/>
      <w:iCs/>
    </w:rPr>
  </w:style>
  <w:style w:type="paragraph" w:customStyle="1" w:styleId="14">
    <w:name w:val="texto"/>
    <w:uiPriority w:val="0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pt-BR" w:eastAsia="zh-CN" w:bidi="ar-SA"/>
    </w:rPr>
  </w:style>
  <w:style w:type="paragraph" w:customStyle="1" w:styleId="15">
    <w:name w:val="Table Contents"/>
    <w:basedOn w:val="4"/>
    <w:uiPriority w:val="0"/>
    <w:pPr>
      <w:suppressLineNumbers/>
    </w:pPr>
  </w:style>
  <w:style w:type="paragraph" w:customStyle="1" w:styleId="16">
    <w:name w:val="Header and Footer"/>
    <w:basedOn w:val="4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7">
    <w:name w:val="Table Heading"/>
    <w:basedOn w:val="15"/>
    <w:uiPriority w:val="0"/>
    <w:pPr>
      <w:jc w:val="center"/>
    </w:pPr>
    <w:rPr>
      <w:b/>
      <w:bCs/>
    </w:rPr>
  </w:style>
  <w:style w:type="paragraph" w:customStyle="1" w:styleId="18">
    <w:name w:val="Quotations"/>
    <w:basedOn w:val="4"/>
    <w:uiPriority w:val="0"/>
    <w:pPr>
      <w:spacing w:after="283"/>
      <w:ind w:left="567" w:right="567"/>
    </w:pPr>
  </w:style>
  <w:style w:type="paragraph" w:customStyle="1" w:styleId="19">
    <w:name w:val="EP Tabela"/>
    <w:basedOn w:val="1"/>
    <w:uiPriority w:val="0"/>
    <w:pPr>
      <w:jc w:val="center"/>
    </w:pPr>
    <w:rPr>
      <w:rFonts w:cs="Arial"/>
      <w:b/>
      <w:sz w:val="22"/>
      <w:lang w:eastAsia="ar-SA"/>
    </w:rPr>
  </w:style>
  <w:style w:type="paragraph" w:customStyle="1" w:styleId="20">
    <w:name w:val="EP Conteudotabela"/>
    <w:basedOn w:val="1"/>
    <w:uiPriority w:val="0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21">
    <w:name w:val="western"/>
    <w:basedOn w:val="1"/>
    <w:uiPriority w:val="0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customStyle="1" w:styleId="22">
    <w:name w:val="Table"/>
    <w:basedOn w:val="12"/>
    <w:uiPriority w:val="0"/>
  </w:style>
  <w:style w:type="paragraph" w:customStyle="1" w:styleId="23">
    <w:name w:val="Illustration"/>
    <w:basedOn w:val="12"/>
    <w:uiPriority w:val="0"/>
  </w:style>
  <w:style w:type="paragraph" w:customStyle="1" w:styleId="24">
    <w:name w:val="Footnote"/>
    <w:basedOn w:val="4"/>
    <w:uiPriority w:val="0"/>
    <w:pPr>
      <w:suppressLineNumbers/>
      <w:ind w:left="339" w:hanging="339"/>
    </w:pPr>
    <w:rPr>
      <w:sz w:val="20"/>
      <w:szCs w:val="20"/>
    </w:rPr>
  </w:style>
  <w:style w:type="paragraph" w:customStyle="1" w:styleId="25">
    <w:name w:val="Frame contents"/>
    <w:basedOn w:val="4"/>
    <w:uiPriority w:val="0"/>
  </w:style>
  <w:style w:type="character" w:customStyle="1" w:styleId="26">
    <w:name w:val="Bullet Symbols"/>
    <w:uiPriority w:val="0"/>
    <w:rPr>
      <w:rFonts w:ascii="OpenSymbol" w:hAnsi="OpenSymbol" w:eastAsia="OpenSymbol" w:cs="OpenSymbol"/>
    </w:rPr>
  </w:style>
  <w:style w:type="character" w:customStyle="1" w:styleId="27">
    <w:name w:val="Numbering Symbols"/>
    <w:uiPriority w:val="0"/>
    <w:rPr>
      <w:rFonts w:ascii="Arial" w:hAnsi="Arial" w:eastAsia="Arial" w:cs="Arial"/>
      <w:b/>
      <w:bCs/>
      <w:color w:val="auto"/>
      <w:sz w:val="24"/>
      <w:szCs w:val="24"/>
    </w:rPr>
  </w:style>
  <w:style w:type="character" w:customStyle="1" w:styleId="28">
    <w:name w:val="Footnote Symbol"/>
    <w:uiPriority w:val="0"/>
  </w:style>
  <w:style w:type="character" w:customStyle="1" w:styleId="29">
    <w:name w:val="Footnote anchor"/>
    <w:uiPriority w:val="0"/>
    <w:rPr>
      <w:position w:val="0"/>
      <w:vertAlign w:val="superscript"/>
    </w:rPr>
  </w:style>
  <w:style w:type="paragraph" w:customStyle="1" w:styleId="30">
    <w:name w:val="Revision"/>
    <w:uiPriority w:val="0"/>
    <w:pPr>
      <w:autoSpaceDN w:val="0"/>
      <w:spacing w:after="0" w:line="240" w:lineRule="auto"/>
      <w:textAlignment w:val="auto"/>
    </w:pPr>
    <w:rPr>
      <w:rFonts w:ascii="Times New Roman" w:hAnsi="Times New Roman" w:eastAsia="SimSun" w:cs="Mangal"/>
      <w:kern w:val="3"/>
      <w:sz w:val="24"/>
      <w:szCs w:val="21"/>
      <w:lang w:val="pt-BR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1ECC9-F778-47B4-A362-D8377B2317F9}">
  <ds:schemaRefs/>
</ds:datastoreItem>
</file>

<file path=customXml/itemProps2.xml><?xml version="1.0" encoding="utf-8"?>
<ds:datastoreItem xmlns:ds="http://schemas.openxmlformats.org/officeDocument/2006/customXml" ds:itemID="{EF6441C5-55E8-484F-9361-6B039835460F}">
  <ds:schemaRefs/>
</ds:datastoreItem>
</file>

<file path=customXml/itemProps3.xml><?xml version="1.0" encoding="utf-8"?>
<ds:datastoreItem xmlns:ds="http://schemas.openxmlformats.org/officeDocument/2006/customXml" ds:itemID="{9B480895-5D20-47BE-BB44-D626D0FA55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Office_12.2.0.13431_F1E327BC-269C-435d-A152-05C5408002CA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2023-03-01T22:58:00Z</dcterms:created>
  <dc:creator>Univasf</dc:creator>
  <cp:lastModifiedBy>Univasf</cp:lastModifiedBy>
  <dcterms:modified xsi:type="dcterms:W3CDTF">2024-02-27T14:48:12Z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  <property fmtid="{D5CDD505-2E9C-101B-9397-08002B2CF9AE}" pid="4" name="KSOProductBuildVer">
    <vt:lpwstr>1046-12.2.0.13431</vt:lpwstr>
  </property>
  <property fmtid="{D5CDD505-2E9C-101B-9397-08002B2CF9AE}" pid="5" name="ICV">
    <vt:lpwstr>FBA5F28B793548308913D252179CAEF8_13</vt:lpwstr>
  </property>
</Properties>
</file>