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193"/>
        <w:ind w:left="2060"/>
      </w:pPr>
      <w:r>
        <w:rPr/>
        <w:t>INSTRUÇÃO NORMATIVA Nº 08, DE 08 DE ABRIL DE 2020.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spacing w:line="235" w:lineRule="auto" w:before="0"/>
        <w:ind w:left="4640" w:right="280" w:firstLine="0"/>
        <w:jc w:val="both"/>
        <w:rPr>
          <w:sz w:val="20"/>
        </w:rPr>
      </w:pPr>
      <w:r>
        <w:rPr>
          <w:sz w:val="20"/>
        </w:rPr>
        <w:t>Dispõe sobre a responsabilidade básica pela elaboração da formalização da demanda, estudos preliminares, termos de referência e demais procedimentos que designa relativos à fase preparatória das licitações destinadas à contratação de serviços de terceirização de mão de obra de dedicação exclusiva, cantina e reprografia no âmbito da UNIVASF.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222" w:right="285" w:firstLine="1128"/>
        <w:jc w:val="both"/>
      </w:pPr>
      <w:r>
        <w:rPr/>
        <w:t>O REITOR em exercício da Universidade Federal do Vale do São Francisco, no uso das suas atribuições legais, considerando o disposto no art. 37, XXI, da Constituição Federal; art. 6º,II e IX, e art. 7, § 2º, da Lei nº 8.666/1993; art. 3º, da Lei nº 10.520/2002; e no Decreto nº 10.024/2019,e ainda: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1"/>
        <w:ind w:left="1351"/>
      </w:pPr>
      <w:r>
        <w:rPr/>
        <w:t>Considerando a importância da fase de planejamento no processo de contratação</w:t>
      </w:r>
    </w:p>
    <w:p>
      <w:pPr>
        <w:pStyle w:val="BodyText"/>
        <w:spacing w:before="1"/>
        <w:ind w:left="222"/>
      </w:pPr>
      <w:r>
        <w:rPr/>
        <w:t>pública;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1"/>
        <w:ind w:left="222" w:right="281" w:firstLine="1128"/>
        <w:jc w:val="both"/>
      </w:pPr>
      <w:r>
        <w:rPr/>
        <w:t>Considerando que o termo de referência e seus anexos encerra o processo de levantamento de dados e demandas, providências e decisões da fase de planejamento da licitação, diagnosticando, descrevendo e apresentando as formas de execução e as obrigações dos fornecedores para a consecução do objeto do</w:t>
      </w:r>
      <w:r>
        <w:rPr>
          <w:spacing w:val="-12"/>
        </w:rPr>
        <w:t> </w:t>
      </w:r>
      <w:r>
        <w:rPr/>
        <w:t>certame;</w:t>
      </w:r>
    </w:p>
    <w:p>
      <w:pPr>
        <w:pStyle w:val="BodyText"/>
        <w:spacing w:before="5"/>
      </w:pPr>
    </w:p>
    <w:p>
      <w:pPr>
        <w:pStyle w:val="BodyText"/>
        <w:ind w:left="222" w:right="285" w:firstLine="1128"/>
        <w:jc w:val="both"/>
      </w:pPr>
      <w:r>
        <w:rPr/>
        <w:t>Considerando a necessidade de criteriosa elaboração de orçamentos para fundamentar as propostas de preço das futuras contratações, garantindo a escolhas das propostas mais vantajosas para a Administração;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222" w:right="291" w:firstLine="1128"/>
        <w:jc w:val="both"/>
      </w:pPr>
      <w:r>
        <w:rPr/>
        <w:t>Considerando a necessidade de disciplinar elaboração de termos de referência para contratação de serviços no âmbito da UNIVASF;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222" w:right="282" w:firstLine="1128"/>
        <w:jc w:val="both"/>
      </w:pPr>
      <w:r>
        <w:rPr/>
        <w:t>Considerando a indispensabilidade de que os setores requisitantes/demandantes, pela estreita relação com os serviços demandados, participem ativamente da elaboração de documentos de planejamento como formalização da demanda, estudos preliminares, termos de referência e seus anexos, planilha de formação de preços dentre outros que venham a fundamentar as licitações;</w:t>
      </w:r>
    </w:p>
    <w:p>
      <w:pPr>
        <w:pStyle w:val="BodyText"/>
        <w:ind w:left="222" w:right="286" w:firstLine="1128"/>
        <w:jc w:val="both"/>
      </w:pPr>
      <w:r>
        <w:rPr/>
        <w:t>Considerando a Instrução Normativa nº 05 de 2020 do Magnífico Reitor da UNIVASF estabelecendo trabalhos administrativos em regime remoto durante o combate à pandemia COVID19;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22" w:right="279" w:firstLine="1128"/>
        <w:jc w:val="both"/>
      </w:pPr>
      <w:r>
        <w:rPr/>
        <w:t>Considerando ainda a necessidade de adoção, para os procedimentos licitatórios, de medidas para a sistematização de práticas relacionadas à gestão de riscos, aos controles internos e à governança;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RESOLVE:</w:t>
      </w:r>
    </w:p>
    <w:p>
      <w:pPr>
        <w:spacing w:after="0"/>
        <w:sectPr>
          <w:headerReference w:type="default" r:id="rId5"/>
          <w:type w:val="continuous"/>
          <w:pgSz w:w="11920" w:h="16850"/>
          <w:pgMar w:header="502" w:top="2060" w:bottom="280" w:left="1160" w:right="720"/>
        </w:sectPr>
      </w:pPr>
    </w:p>
    <w:p>
      <w:pPr>
        <w:pStyle w:val="BodyText"/>
        <w:spacing w:line="268" w:lineRule="exact"/>
        <w:ind w:left="107"/>
        <w:jc w:val="both"/>
      </w:pPr>
      <w:r>
        <w:rPr>
          <w:b/>
        </w:rPr>
        <w:t>Art. 1º. </w:t>
      </w:r>
      <w:r>
        <w:rPr/>
        <w:t>A elaboração dos documentos preparatórios para a contratação dos serviços de</w:t>
      </w:r>
    </w:p>
    <w:p>
      <w:pPr>
        <w:pStyle w:val="BodyText"/>
        <w:ind w:left="107" w:right="125"/>
        <w:jc w:val="both"/>
      </w:pPr>
      <w:r>
        <w:rPr/>
        <w:t>terceirização de mão de obra de dedicação exclusiva e os serviços de cantina e reprografia obedecerão o disposto nesta Instrução Normativa.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7" w:right="113"/>
        <w:jc w:val="both"/>
      </w:pPr>
      <w:r>
        <w:rPr>
          <w:b/>
        </w:rPr>
        <w:t>Art. 2º. </w:t>
      </w:r>
      <w:r>
        <w:rPr/>
        <w:t>A contratação dos serviços de terceirização de mão de obra de dedicação exclusiva, que trata o art. 6º, II, da Lei nº 8.666/1993, e </w:t>
      </w:r>
      <w:r>
        <w:rPr>
          <w:spacing w:val="2"/>
        </w:rPr>
        <w:t>os </w:t>
      </w:r>
      <w:r>
        <w:rPr/>
        <w:t>de cantina e reprografia no âmbito dos </w:t>
      </w:r>
      <w:r>
        <w:rPr>
          <w:i/>
        </w:rPr>
        <w:t>campi </w:t>
      </w:r>
      <w:r>
        <w:rPr/>
        <w:t>da UNIVASF, serão sempre precedidos de requisição pela Coordenação do respectivo </w:t>
      </w:r>
      <w:r>
        <w:rPr>
          <w:i/>
        </w:rPr>
        <w:t>Campus</w:t>
      </w:r>
      <w:r>
        <w:rPr/>
        <w:t>, atuando como setor requisitante/demandante, que será responsável pelas informações relativas à necessidade, justificativa, especificação,quantidade e estimativa da despesa e gestão de</w:t>
      </w:r>
      <w:r>
        <w:rPr>
          <w:spacing w:val="-31"/>
        </w:rPr>
        <w:t> </w:t>
      </w:r>
      <w:r>
        <w:rPr/>
        <w:t>riscos.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7" w:right="114"/>
        <w:jc w:val="both"/>
      </w:pPr>
      <w:r>
        <w:rPr>
          <w:b/>
        </w:rPr>
        <w:t>§ 1º. </w:t>
      </w:r>
      <w:r>
        <w:rPr/>
        <w:t>Os serviços de terceirização de mão de obra relacionados às atividades de manutenção de  bens imóveis e móveis são de competência do Departamento de Manutenção da UNIVASF – DEMAN/PU, que também atuará como setor</w:t>
      </w:r>
      <w:r>
        <w:rPr>
          <w:spacing w:val="-8"/>
        </w:rPr>
        <w:t> </w:t>
      </w:r>
      <w:r>
        <w:rPr/>
        <w:t>requisitante/demandante;</w:t>
      </w:r>
    </w:p>
    <w:p>
      <w:pPr>
        <w:pStyle w:val="BodyText"/>
      </w:pPr>
    </w:p>
    <w:p>
      <w:pPr>
        <w:pStyle w:val="BodyText"/>
        <w:spacing w:line="242" w:lineRule="auto"/>
        <w:ind w:left="107" w:right="119"/>
        <w:jc w:val="both"/>
      </w:pPr>
      <w:r>
        <w:rPr>
          <w:b/>
        </w:rPr>
        <w:t>§ 2º. </w:t>
      </w:r>
      <w:r>
        <w:rPr/>
        <w:t>Os serviços de terceirização de mão de obra relacionados às atividades desenvolvidas no âmbito do Projeto de Integração do São Francisco - PISF são de competência exclusiva da Assessoria de Projetos Institucionais – API/GR, também atuando como setor requisitante/demandante;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07" w:right="129"/>
        <w:jc w:val="both"/>
      </w:pPr>
      <w:r>
        <w:rPr>
          <w:b/>
        </w:rPr>
        <w:t>§ 3º. </w:t>
      </w:r>
      <w:r>
        <w:rPr/>
        <w:t>O serviço de terceirização de mão de obra de motoristas é de competência da Diretoria de Patrimônio e Logística – DPL/PROPLADI, também atuando como setor requisitante/demandante.</w:t>
      </w:r>
    </w:p>
    <w:p>
      <w:pPr>
        <w:pStyle w:val="BodyText"/>
      </w:pPr>
    </w:p>
    <w:p>
      <w:pPr>
        <w:pStyle w:val="BodyText"/>
        <w:ind w:left="107" w:right="183"/>
        <w:jc w:val="both"/>
      </w:pPr>
      <w:r>
        <w:rPr>
          <w:b/>
        </w:rPr>
        <w:t>Art. 3º. </w:t>
      </w:r>
      <w:r>
        <w:rPr/>
        <w:t>Os processos de que trata o artigo anterior se iniciam com a formalização pelo setor requisitante/demandante por meio de ofício protocolado no SIPAC, fundamentado no planejamento orçamentário da Instituição para cada tipo de despesa, bem como no Plano Anual de Contratações – PAC, e serão impulsionados por todos os setores envolvidos com vistas à sua conclusão em tempo razoável.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7" w:right="182"/>
        <w:jc w:val="both"/>
      </w:pPr>
      <w:r>
        <w:rPr>
          <w:b/>
        </w:rPr>
        <w:t>Parágrafo único. </w:t>
      </w:r>
      <w:r>
        <w:rPr/>
        <w:t>A Secretaria de Administração será responsável pela coordenação e planejamento de prazos e cronogramas de desenvolvimento das licitações, mediante mútua colaboração com os servidores fiscais dos contratos.</w:t>
      </w:r>
    </w:p>
    <w:p>
      <w:pPr>
        <w:pStyle w:val="BodyText"/>
      </w:pPr>
    </w:p>
    <w:p>
      <w:pPr>
        <w:pStyle w:val="BodyText"/>
        <w:ind w:left="107" w:right="173"/>
        <w:jc w:val="both"/>
      </w:pPr>
      <w:r>
        <w:rPr>
          <w:b/>
        </w:rPr>
        <w:t>Art. 4º. </w:t>
      </w:r>
      <w:r>
        <w:rPr/>
        <w:t>A competência para elaboração dos documentos necessários para o planejamento licitatório, como a formalização da demanda, estudos preliminares, termo de referência e seus anexos, dentre outros, é da área/setor requisitante/demandante dos serviços, que deverá fazê-lo com a indicação do objeto de forma precisa, suficiente e clara, vedadas especificações que, por excessivas, irrelevantes ou desnecessárias, limitem ou frustrem a competição ou sua realização.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7" w:right="178"/>
        <w:jc w:val="both"/>
      </w:pPr>
      <w:r>
        <w:rPr>
          <w:b/>
        </w:rPr>
        <w:t>§ 1º. </w:t>
      </w:r>
      <w:r>
        <w:rPr/>
        <w:t>A critério dos setores requisitantes/demandantes da Admistração Central (DSOS, DEMAN e DPL), a Secretaria de Administração poderá realizar o devido assessoramento da demanda, prestando esclarecimentos e informações para subsidiar a elaboração dos orçamentos e de planilhas de formação de preços, bem como a gestão de riscos, em especial: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44" w:lineRule="auto" w:before="0" w:after="0"/>
        <w:ind w:left="102" w:right="184" w:firstLine="283"/>
        <w:jc w:val="left"/>
        <w:rPr>
          <w:sz w:val="24"/>
        </w:rPr>
      </w:pPr>
      <w:r>
        <w:rPr>
          <w:sz w:val="24"/>
        </w:rPr>
        <w:t>pesquisa de preços de serviços terceirizados que envolvam fornecimento de mão de obra para estimativa da despesa do termo de</w:t>
      </w:r>
      <w:r>
        <w:rPr>
          <w:spacing w:val="-9"/>
          <w:sz w:val="24"/>
        </w:rPr>
        <w:t> </w:t>
      </w:r>
      <w:r>
        <w:rPr>
          <w:sz w:val="24"/>
        </w:rPr>
        <w:t>referência;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40" w:lineRule="auto" w:before="0" w:after="0"/>
        <w:ind w:left="102" w:right="187" w:firstLine="283"/>
        <w:jc w:val="left"/>
        <w:rPr>
          <w:sz w:val="24"/>
        </w:rPr>
      </w:pPr>
      <w:r>
        <w:rPr>
          <w:sz w:val="24"/>
        </w:rPr>
        <w:t>esclarecimentos contábeis acerca das planilhas de formação de preço de serviços terceirizados que envolvam fornecimento de mão de</w:t>
      </w:r>
      <w:r>
        <w:rPr>
          <w:spacing w:val="-9"/>
          <w:sz w:val="24"/>
        </w:rPr>
        <w:t> </w:t>
      </w:r>
      <w:r>
        <w:rPr>
          <w:sz w:val="24"/>
        </w:rPr>
        <w:t>obra;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40" w:lineRule="auto" w:before="0" w:after="0"/>
        <w:ind w:left="102" w:right="175" w:firstLine="283"/>
        <w:jc w:val="left"/>
        <w:rPr>
          <w:sz w:val="24"/>
        </w:rPr>
      </w:pPr>
      <w:r>
        <w:rPr>
          <w:sz w:val="24"/>
        </w:rPr>
        <w:t>analisar, subsidiar e acompanhar os setores demandantes na gestão de riscos das licitações, visando ao controle de riscos desde o processo de contratação até a contratação em</w:t>
      </w:r>
      <w:r>
        <w:rPr>
          <w:spacing w:val="-28"/>
          <w:sz w:val="24"/>
        </w:rPr>
        <w:t> </w:t>
      </w:r>
      <w:r>
        <w:rPr>
          <w:sz w:val="24"/>
        </w:rPr>
        <w:t>si.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502" w:footer="0" w:top="2060" w:bottom="280" w:left="1160" w:right="720"/>
        </w:sectPr>
      </w:pPr>
    </w:p>
    <w:p>
      <w:pPr>
        <w:pStyle w:val="BodyText"/>
        <w:spacing w:line="268" w:lineRule="exact"/>
        <w:ind w:left="107"/>
        <w:jc w:val="both"/>
      </w:pPr>
      <w:r>
        <w:rPr>
          <w:b/>
        </w:rPr>
        <w:t>§ 2º. </w:t>
      </w:r>
      <w:r>
        <w:rPr/>
        <w:t>O Departamento de Compras e Licitações DCL/PROGEST e o Departamento de Planejamento</w:t>
      </w:r>
    </w:p>
    <w:p>
      <w:pPr>
        <w:pStyle w:val="BodyText"/>
        <w:ind w:left="107" w:right="181"/>
        <w:jc w:val="both"/>
      </w:pPr>
      <w:r>
        <w:rPr/>
        <w:t>DP/PROPLADI auxiliarão, sempre que requisitados, os setores demandantes na pesquisa de preços que norteará a estimativa da despesa do termo de referência.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7" w:right="173"/>
        <w:jc w:val="both"/>
      </w:pPr>
      <w:r>
        <w:rPr>
          <w:b/>
        </w:rPr>
        <w:t>§ 3º. </w:t>
      </w:r>
      <w:r>
        <w:rPr/>
        <w:t>O Departamento de Supervisão, Operações e Serviços – DSOS/PU prestará o auxílio necessários às coordenações de </w:t>
      </w:r>
      <w:r>
        <w:rPr>
          <w:i/>
        </w:rPr>
        <w:t>campus </w:t>
      </w:r>
      <w:r>
        <w:rPr/>
        <w:t>quanto aos serviços da sua área de atuação, como limpeza e conservação, vigilância, apoio administrativo, cantina, reprografia, entre outros.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7" w:right="179"/>
        <w:jc w:val="both"/>
      </w:pPr>
      <w:r>
        <w:rPr>
          <w:b/>
        </w:rPr>
        <w:t>Art. 5º. </w:t>
      </w:r>
      <w:r>
        <w:rPr/>
        <w:t>Às Coordenações de </w:t>
      </w:r>
      <w:r>
        <w:rPr>
          <w:i/>
        </w:rPr>
        <w:t>Campus </w:t>
      </w:r>
      <w:r>
        <w:rPr/>
        <w:t>e à DSOS compete a elaboração da formalização da demanda, estudos preliminares, termo de referência e seus anexos,e outros documentos que sejam necessários ao planejamento licitatório das contratações de sua área de atuação, como limpeza, vigilância, apoio administrativo, cantina e reprografia, de acordo com a Instrução Normativa (IN) vigente e as orientações da Advocacia-Geral da União (AGU), mediante mútua cooperação.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4" w:lineRule="auto" w:before="1"/>
        <w:ind w:left="107" w:right="180"/>
        <w:jc w:val="both"/>
      </w:pPr>
      <w:r>
        <w:rPr>
          <w:b/>
        </w:rPr>
        <w:t>§ 1º. </w:t>
      </w:r>
      <w:r>
        <w:rPr/>
        <w:t>O DCL/PROGEST e o DP/PROPLADI apoiarão, sempre que requisitados, os setores requisitantes nas pesquisas de preços necessárias à estimativa da despesa relacionada à cantina e reprografia.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07" w:right="175"/>
        <w:jc w:val="both"/>
      </w:pPr>
      <w:r>
        <w:rPr>
          <w:b/>
        </w:rPr>
        <w:t>Art. 6º. </w:t>
      </w:r>
      <w:r>
        <w:rPr/>
        <w:t>À Coordenação de Transportes – CTRANS/DPL/PROPLADI compete a elaboração da formalização da demanda, estudos preliminares, termo de referência e seus anexos e outros documentos que sejam necessários ao planejamento licitatório das contratações de motoristas, de acordo com a IN vigente e as orientações da AGU;</w:t>
      </w:r>
    </w:p>
    <w:p>
      <w:pPr>
        <w:pStyle w:val="BodyText"/>
      </w:pPr>
    </w:p>
    <w:p>
      <w:pPr>
        <w:pStyle w:val="BodyText"/>
        <w:ind w:left="107" w:right="183"/>
        <w:jc w:val="both"/>
      </w:pPr>
      <w:r>
        <w:rPr>
          <w:b/>
        </w:rPr>
        <w:t>Art. 7º. </w:t>
      </w:r>
      <w:r>
        <w:rPr/>
        <w:t>Ao Departamento de Manutenção – DEMAN/PU compete a elaboração da formalização da demanda, estudos preliminares, termo de referência e seus anexos e outros documentos que  sejam necessários ao planejamento licitatório das contratações de sua área de atuação, como manutenção predial e manutenção de bens móveis, de acordo com a IN vigente e as orientações da AGU.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7" w:right="178"/>
        <w:jc w:val="both"/>
      </w:pPr>
      <w:r>
        <w:rPr>
          <w:b/>
        </w:rPr>
        <w:t>Art. 8º. </w:t>
      </w:r>
      <w:r>
        <w:rPr/>
        <w:t>Na elaboração dos termos de referência e seus anexos, assim como em todas as fases da licitação, os setores envolvidos devem observar, além das disposições legais e decretos regulamentares vigentes, as instruções normativas emanadas pela Secretaria de Gestão do Ministério da Economia aplicáveis à espécie.</w:t>
      </w:r>
    </w:p>
    <w:p>
      <w:pPr>
        <w:pStyle w:val="BodyText"/>
      </w:pPr>
    </w:p>
    <w:p>
      <w:pPr>
        <w:pStyle w:val="BodyText"/>
        <w:ind w:left="107" w:right="182"/>
        <w:jc w:val="both"/>
      </w:pPr>
      <w:r>
        <w:rPr>
          <w:b/>
        </w:rPr>
        <w:t>Art. 9º. </w:t>
      </w:r>
      <w:r>
        <w:rPr/>
        <w:t>O Reitor poderá emitir portaria para designar servidores dos setores competentes, que serão responsáveis pela condução dos processos licitatórios.</w:t>
      </w:r>
    </w:p>
    <w:p>
      <w:pPr>
        <w:pStyle w:val="BodyText"/>
      </w:pPr>
    </w:p>
    <w:p>
      <w:pPr>
        <w:pStyle w:val="BodyText"/>
        <w:ind w:left="107" w:right="184"/>
        <w:jc w:val="both"/>
      </w:pPr>
      <w:r>
        <w:rPr>
          <w:b/>
        </w:rPr>
        <w:t>Art. 10. </w:t>
      </w:r>
      <w:r>
        <w:rPr/>
        <w:t>Esta Instrução Normativa entra em vigor na data de sua assinatura e vigerá por 90 (noventa) dias, podendo ser prorrogada a critério do Reitor da</w:t>
      </w:r>
      <w:r>
        <w:rPr>
          <w:spacing w:val="-12"/>
        </w:rPr>
        <w:t> </w:t>
      </w:r>
      <w:r>
        <w:rPr/>
        <w:t>Univasf.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7" w:right="175"/>
        <w:jc w:val="both"/>
      </w:pPr>
      <w:r>
        <w:rPr>
          <w:b/>
        </w:rPr>
        <w:t>Parágrafo Único. </w:t>
      </w:r>
      <w:r>
        <w:rPr/>
        <w:t>Os efeitos desta Instrução Normativa estender-se-ão aos processos iniciados na sua vigência, até que sejam concluídos.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3613" w:right="4492" w:firstLine="2"/>
        <w:jc w:val="center"/>
      </w:pPr>
      <w:r>
        <w:rPr/>
        <w:t>Telio Nobre Leite Reitor em exercício</w:t>
      </w:r>
    </w:p>
    <w:p>
      <w:pPr>
        <w:spacing w:after="0"/>
        <w:jc w:val="center"/>
        <w:sectPr>
          <w:pgSz w:w="11920" w:h="16850"/>
          <w:pgMar w:header="502" w:footer="0" w:top="2060" w:bottom="280" w:left="1160" w:right="720"/>
        </w:sectPr>
      </w:pPr>
    </w:p>
    <w:p>
      <w:pPr>
        <w:pStyle w:val="BodyText"/>
        <w:spacing w:before="6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6"/>
          <w:pgSz w:w="11910" w:h="16840"/>
          <w:pgMar w:header="0" w:footer="0" w:top="840" w:bottom="280" w:left="1260" w:right="1260"/>
        </w:sectPr>
      </w:pPr>
    </w:p>
    <w:p>
      <w:pPr>
        <w:spacing w:before="96"/>
        <w:ind w:left="1662" w:right="0" w:firstLine="0"/>
        <w:jc w:val="left"/>
        <w:rPr>
          <w:rFonts w:ascii="Times New Roman" w:hAnsi="Times New Roman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884427</wp:posOffset>
            </wp:positionH>
            <wp:positionV relativeFrom="paragraph">
              <wp:posOffset>-67366</wp:posOffset>
            </wp:positionV>
            <wp:extent cx="952499" cy="73342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7"/>
        </w:rPr>
        <w:t>MINISTÉRIO DA EDUCAÇÃO</w:t>
      </w:r>
    </w:p>
    <w:p>
      <w:pPr>
        <w:spacing w:line="244" w:lineRule="auto" w:before="4"/>
        <w:ind w:left="1662" w:right="23" w:firstLine="0"/>
        <w:jc w:val="left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t>UNIVERSIDADE FEDERAL DO VALE DO SÃO FRANCISCO SISTEMA INTEGRADO DE PATRIMÔNIO, ADMINISTRAÇÃO E CONTRATOS</w:t>
      </w:r>
    </w:p>
    <w:p>
      <w:pPr>
        <w:pStyle w:val="BodyText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spacing w:before="153"/>
        <w:ind w:left="132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FOLHA DE</w:t>
      </w:r>
      <w:r>
        <w:rPr>
          <w:rFonts w:ascii="Times New Roman"/>
          <w:b/>
          <w:spacing w:val="24"/>
          <w:sz w:val="19"/>
        </w:rPr>
        <w:t> </w:t>
      </w:r>
      <w:r>
        <w:rPr>
          <w:rFonts w:ascii="Times New Roman"/>
          <w:b/>
          <w:sz w:val="19"/>
        </w:rPr>
        <w:t>ASSINATURAS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23"/>
        </w:rPr>
      </w:pPr>
    </w:p>
    <w:p>
      <w:pPr>
        <w:spacing w:before="0"/>
        <w:ind w:left="745" w:right="0" w:firstLine="0"/>
        <w:jc w:val="left"/>
        <w:rPr>
          <w:rFonts w:ascii="Times New Roman"/>
          <w:i/>
          <w:sz w:val="19"/>
        </w:rPr>
      </w:pPr>
      <w:r>
        <w:rPr/>
        <w:pict>
          <v:group style="position:absolute;margin-left:68.889999pt;margin-top:-6.650847pt;width:457.5pt;height:2.25pt;mso-position-horizontal-relative:page;mso-position-vertical-relative:paragraph;z-index:251658240" coordorigin="1378,-133" coordsize="9150,45">
            <v:line style="position:absolute" from="1378,-126" to="10528,-126" stroked="true" strokeweight=".75pt" strokecolor="#000000">
              <v:stroke dashstyle="solid"/>
            </v:line>
            <v:shape style="position:absolute;left:1377;top:-134;width:15;height:45" coordorigin="1378,-133" coordsize="15,45" path="m1378,-133l1378,-88,1393,-103,1393,-118,1378,-133xe" filled="true" fillcolor="#000000" stroked="false">
              <v:path arrowok="t"/>
              <v:fill type="solid"/>
            </v:shape>
            <v:line style="position:absolute" from="1378,-96" to="10528,-96" stroked="true" strokeweight=".75pt" strokecolor="#b2b2b2">
              <v:stroke dashstyle="solid"/>
            </v:line>
            <v:shape style="position:absolute;left:10512;top:-134;width:15;height:45" coordorigin="10513,-133" coordsize="15,45" path="m10528,-133l10513,-118,10513,-103,10528,-88,10528,-133xe" filled="true" fillcolor="#b2b2b2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sz w:val="19"/>
        </w:rPr>
        <w:t>Emitido em</w:t>
      </w:r>
      <w:r>
        <w:rPr>
          <w:rFonts w:ascii="Times New Roman"/>
          <w:i/>
          <w:spacing w:val="17"/>
          <w:sz w:val="19"/>
        </w:rPr>
        <w:t> </w:t>
      </w:r>
      <w:r>
        <w:rPr>
          <w:rFonts w:ascii="Times New Roman"/>
          <w:i/>
          <w:sz w:val="19"/>
        </w:rPr>
        <w:t>08/04/2020</w:t>
      </w:r>
    </w:p>
    <w:p>
      <w:pPr>
        <w:spacing w:after="0"/>
        <w:jc w:val="left"/>
        <w:rPr>
          <w:rFonts w:ascii="Times New Roman"/>
          <w:sz w:val="19"/>
        </w:rPr>
        <w:sectPr>
          <w:type w:val="continuous"/>
          <w:pgSz w:w="11910" w:h="16840"/>
          <w:pgMar w:top="2060" w:bottom="280" w:left="1260" w:right="1260"/>
          <w:cols w:num="2" w:equalWidth="0">
            <w:col w:w="6676" w:space="44"/>
            <w:col w:w="2670"/>
          </w:cols>
        </w:sectPr>
      </w:pPr>
    </w:p>
    <w:p>
      <w:pPr>
        <w:pStyle w:val="BodyText"/>
        <w:spacing w:before="4"/>
        <w:rPr>
          <w:rFonts w:ascii="Times New Roman"/>
          <w:i/>
          <w:sz w:val="29"/>
        </w:rPr>
      </w:pPr>
    </w:p>
    <w:p>
      <w:pPr>
        <w:spacing w:before="94"/>
        <w:ind w:left="2532" w:right="2580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PORTARIA Nº 08/2020 - GR-CRNI (11.01.02.28.19)</w:t>
      </w:r>
    </w:p>
    <w:p>
      <w:pPr>
        <w:spacing w:before="3"/>
        <w:ind w:left="2532" w:right="2578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(Nº do Documento: 528)</w:t>
      </w:r>
    </w:p>
    <w:p>
      <w:pPr>
        <w:pStyle w:val="BodyText"/>
        <w:spacing w:before="3"/>
        <w:rPr>
          <w:rFonts w:ascii="Times New Roman"/>
          <w:b/>
          <w:sz w:val="11"/>
        </w:rPr>
      </w:pPr>
    </w:p>
    <w:p>
      <w:pPr>
        <w:spacing w:before="94"/>
        <w:ind w:left="2532" w:right="2532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(Nº do Protocolo: NÃO</w:t>
      </w:r>
      <w:r>
        <w:rPr>
          <w:rFonts w:ascii="Times New Roman" w:hAnsi="Times New Roman"/>
          <w:b/>
          <w:spacing w:val="35"/>
          <w:sz w:val="19"/>
        </w:rPr>
        <w:t> </w:t>
      </w:r>
      <w:r>
        <w:rPr>
          <w:rFonts w:ascii="Times New Roman" w:hAnsi="Times New Roman"/>
          <w:b/>
          <w:sz w:val="19"/>
        </w:rPr>
        <w:t>PROTOCOLADO)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/>
        <w:rPr>
          <w:rFonts w:ascii="Times New Roman"/>
          <w:b/>
          <w:sz w:val="18"/>
        </w:rPr>
      </w:pPr>
    </w:p>
    <w:p>
      <w:pPr>
        <w:spacing w:line="216" w:lineRule="exact" w:before="0"/>
        <w:ind w:left="2532" w:right="2523" w:firstLine="0"/>
        <w:jc w:val="center"/>
        <w:rPr>
          <w:rFonts w:ascii="Times New Roman"/>
          <w:i/>
          <w:sz w:val="19"/>
        </w:rPr>
      </w:pPr>
      <w:r>
        <w:rPr>
          <w:rFonts w:ascii="Times New Roman"/>
          <w:i/>
          <w:sz w:val="19"/>
        </w:rPr>
        <w:t>(Assinado digitalmente em 08/04/2020 10:35</w:t>
      </w:r>
      <w:r>
        <w:rPr>
          <w:rFonts w:ascii="Times New Roman"/>
          <w:i/>
          <w:spacing w:val="34"/>
          <w:sz w:val="19"/>
        </w:rPr>
        <w:t> </w:t>
      </w:r>
      <w:r>
        <w:rPr>
          <w:rFonts w:ascii="Times New Roman"/>
          <w:i/>
          <w:sz w:val="19"/>
        </w:rPr>
        <w:t>)</w:t>
      </w:r>
    </w:p>
    <w:p>
      <w:pPr>
        <w:spacing w:line="216" w:lineRule="exact" w:before="0"/>
        <w:ind w:left="2532" w:right="2521" w:firstLine="0"/>
        <w:jc w:val="center"/>
        <w:rPr>
          <w:rFonts w:ascii="Times New Roman"/>
          <w:sz w:val="19"/>
        </w:rPr>
      </w:pPr>
      <w:r>
        <w:rPr>
          <w:rFonts w:ascii="Times New Roman"/>
          <w:sz w:val="19"/>
        </w:rPr>
        <w:t>TELIO NOBRE LEITE</w:t>
      </w:r>
    </w:p>
    <w:p>
      <w:pPr>
        <w:spacing w:line="297" w:lineRule="auto" w:before="33"/>
        <w:ind w:left="4460" w:right="4398" w:firstLine="0"/>
        <w:jc w:val="center"/>
        <w:rPr>
          <w:rFonts w:ascii="Times New Roman"/>
          <w:i/>
          <w:sz w:val="15"/>
        </w:rPr>
      </w:pPr>
      <w:r>
        <w:rPr>
          <w:rFonts w:ascii="Times New Roman"/>
          <w:i/>
          <w:sz w:val="15"/>
        </w:rPr>
        <w:t>REITOR </w:t>
      </w:r>
      <w:r>
        <w:rPr>
          <w:rFonts w:ascii="Times New Roman"/>
          <w:i/>
          <w:sz w:val="15"/>
        </w:rPr>
        <w:t>1468020</w:t>
      </w: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spacing w:before="10"/>
        <w:rPr>
          <w:rFonts w:ascii="Times New Roman"/>
          <w:i/>
          <w:sz w:val="16"/>
        </w:rPr>
      </w:pPr>
    </w:p>
    <w:p>
      <w:pPr>
        <w:spacing w:line="242" w:lineRule="auto" w:before="1"/>
        <w:ind w:left="398" w:right="396" w:hanging="2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sz w:val="19"/>
        </w:rPr>
        <w:t>Para verificar a autenticidade deste documento entre em </w:t>
      </w:r>
      <w:hyperlink r:id="rId8">
        <w:r>
          <w:rPr>
            <w:rFonts w:ascii="Times New Roman" w:hAnsi="Times New Roman"/>
            <w:color w:val="0000FF"/>
            <w:sz w:val="19"/>
            <w:u w:val="single" w:color="0000FF"/>
          </w:rPr>
          <w:t>https://sig.univasf.edu.br/documentos/</w:t>
        </w:r>
        <w:r>
          <w:rPr>
            <w:rFonts w:ascii="Times New Roman" w:hAnsi="Times New Roman"/>
            <w:color w:val="0000FF"/>
            <w:sz w:val="19"/>
          </w:rPr>
          <w:t> </w:t>
        </w:r>
      </w:hyperlink>
      <w:r>
        <w:rPr>
          <w:rFonts w:ascii="Times New Roman" w:hAnsi="Times New Roman"/>
          <w:sz w:val="19"/>
        </w:rPr>
        <w:t>informando seu número: </w:t>
      </w:r>
      <w:r>
        <w:rPr>
          <w:rFonts w:ascii="Times New Roman" w:hAnsi="Times New Roman"/>
          <w:b/>
          <w:sz w:val="19"/>
        </w:rPr>
        <w:t>528</w:t>
      </w:r>
      <w:r>
        <w:rPr>
          <w:rFonts w:ascii="Times New Roman" w:hAnsi="Times New Roman"/>
          <w:sz w:val="19"/>
        </w:rPr>
        <w:t>, ano: </w:t>
      </w:r>
      <w:r>
        <w:rPr>
          <w:rFonts w:ascii="Times New Roman" w:hAnsi="Times New Roman"/>
          <w:b/>
          <w:sz w:val="19"/>
        </w:rPr>
        <w:t>2020</w:t>
      </w:r>
      <w:r>
        <w:rPr>
          <w:rFonts w:ascii="Times New Roman" w:hAnsi="Times New Roman"/>
          <w:sz w:val="19"/>
        </w:rPr>
        <w:t>, tipo: </w:t>
      </w:r>
      <w:r>
        <w:rPr>
          <w:rFonts w:ascii="Times New Roman" w:hAnsi="Times New Roman"/>
          <w:b/>
          <w:sz w:val="19"/>
        </w:rPr>
        <w:t>PORTARIA</w:t>
      </w:r>
      <w:r>
        <w:rPr>
          <w:rFonts w:ascii="Times New Roman" w:hAnsi="Times New Roman"/>
          <w:sz w:val="19"/>
        </w:rPr>
        <w:t>, data de emissão: </w:t>
      </w:r>
      <w:r>
        <w:rPr>
          <w:rFonts w:ascii="Times New Roman" w:hAnsi="Times New Roman"/>
          <w:b/>
          <w:sz w:val="19"/>
        </w:rPr>
        <w:t>08/04/2020 </w:t>
      </w:r>
      <w:r>
        <w:rPr>
          <w:rFonts w:ascii="Times New Roman" w:hAnsi="Times New Roman"/>
          <w:sz w:val="19"/>
        </w:rPr>
        <w:t>e o código de verificação: </w:t>
      </w:r>
      <w:r>
        <w:rPr>
          <w:rFonts w:ascii="Times New Roman" w:hAnsi="Times New Roman"/>
          <w:b/>
          <w:sz w:val="19"/>
        </w:rPr>
        <w:t>fc7853fec6</w:t>
      </w:r>
    </w:p>
    <w:sectPr>
      <w:type w:val="continuous"/>
      <w:pgSz w:w="11910" w:h="16840"/>
      <w:pgMar w:top="2060" w:bottom="28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90304">
          <wp:simplePos x="0" y="0"/>
          <wp:positionH relativeFrom="page">
            <wp:posOffset>3511550</wp:posOffset>
          </wp:positionH>
          <wp:positionV relativeFrom="page">
            <wp:posOffset>318770</wp:posOffset>
          </wp:positionV>
          <wp:extent cx="620395" cy="62039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0395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8.990005pt;margin-top:78.100021pt;width:209.6pt;height:26.25pt;mso-position-horizontal-relative:page;mso-position-vertical-relative:page;z-index:-251825152" type="#_x0000_t202" filled="false" stroked="false">
          <v:textbox inset="0,0,0,0">
            <w:txbxContent>
              <w:p>
                <w:pPr>
                  <w:spacing w:line="242" w:lineRule="exact" w:before="0"/>
                  <w:ind w:left="0" w:right="0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Universidade Federal do Vale do São Francisco</w:t>
                </w:r>
              </w:p>
              <w:p>
                <w:pPr>
                  <w:spacing w:line="266" w:lineRule="exact" w:before="0"/>
                  <w:ind w:left="16" w:right="0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Gabinete da Reitoria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02" w:hanging="438"/>
        <w:jc w:val="left"/>
      </w:pPr>
      <w:rPr>
        <w:rFonts w:hint="default" w:ascii="Calibri" w:hAnsi="Calibri" w:eastAsia="Calibri" w:cs="Calibri"/>
        <w:spacing w:val="-27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093" w:hanging="438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087" w:hanging="438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81" w:hanging="43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075" w:hanging="43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069" w:hanging="43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063" w:hanging="43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056" w:hanging="43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050" w:hanging="43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1"/>
      <w:ind w:left="2057" w:right="2242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102" w:right="175" w:firstLine="283"/>
    </w:pPr>
    <w:rPr>
      <w:rFonts w:ascii="Calibri" w:hAnsi="Calibri" w:eastAsia="Calibri" w:cs="Calibri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2.png"/><Relationship Id="rId8" Type="http://schemas.openxmlformats.org/officeDocument/2006/relationships/hyperlink" Target="https://sig.univasf.edu.br/public/jsp/autenticidade/form.jsf" TargetMode="External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2020-04-08T13:39:24Z</dcterms:created>
  <dcterms:modified xsi:type="dcterms:W3CDTF">2020-04-08T13:39:24Z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LastSaved">
    <vt:filetime>2020-04-08T00:00:00Z</vt:filetime>
  </property>
</Properties>
</file>