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  <w:rPr>
          <w:sz w:val="20"/>
          <w:szCs w:val="20"/>
        </w:rPr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313"/>
        <w:gridCol w:w="2003"/>
        <w:gridCol w:w="3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150"/>
        <w:gridCol w:w="756"/>
        <w:gridCol w:w="871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Tel.:</w:t>
            </w:r>
            <w:permStart w:id="5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9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  <w:permEnd w:id="9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Contrato Univasf: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42875" cy="1333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3350" cy="13335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>ESTÁGIO OBRIGATÓRIO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que se seguem: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SEGUNDA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 A participação em programa de estágio não caracterizará vínculo empregatício de qualquer natureza (art. 3º da Lei nº 11.788/08).</w:t>
      </w:r>
      <w:bookmarkStart w:id="1" w:name="_GoBack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estágio será desenvolvido no período de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no horário das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às </w:t>
      </w:r>
      <w:permStart w:id="3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carga horária diária de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num total de </w:t>
      </w:r>
      <w:permStart w:id="3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compatíveis com o horário escolar do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Parágrafo primeiro.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segundo.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Os dias de recesso previstos na cláusula quinta serão concedidos de maneira proporcional, caso o estágio tenha duração inferior a 01 (um) ano.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SEXTA.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permStart w:id="3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item.</w:t>
      </w:r>
      <w:permEnd w:id="35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conforme previsto no art. 9º, IV, da Lei nº 11.788/08.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SÉTIMA.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e) proporcionar ao ESTUDANTE experiências teórico-práticas na sua linha de formação; f) permitir o acesso de docentes credenciados da INSTITUIÇÃO DE ENSINO ao local de estágio, objetivando o acompanhamento e a avaliação das atividades; g) designar profissional com experiência ou formação na mesma área de conhecimento do ESTUDANTE como supervisor de estágio; h)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NONA</w:t>
      </w:r>
      <w:permStart w:id="36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6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>não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receberá bolsa de estágio.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permStart w:id="37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7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receberá bolsa de estágio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considerando-se a frequência mensal, deduzidas as faltas não justificadas, e auxílio-transporte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por dia efetivamente estagiado.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ATIVIDADES DESENVOLVIDAS:</w:t>
      </w:r>
    </w:p>
    <w:tbl>
      <w:tblPr>
        <w:tblStyle w:val="16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permStart w:id="4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  <w:permEnd w:id="40"/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Na hipótese de desligamento do estágio em data anterior à estabelecida no TCE, será necessária a formalização de Termo de Rescisão.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ESTUDANTE responderá pelas perdas e danos decorrentes da inobservância das normas internas ou das constantes no presente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Petrolina,</w:t>
      </w:r>
      <w:permStart w:id="4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  <w:permEnd w:id="4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spacing w:after="0" w:line="240" w:lineRule="auto"/>
        <w:jc w:val="center"/>
      </w:pPr>
      <w:r>
        <w:rPr>
          <w:rtl w:val="0"/>
        </w:rPr>
        <w:t>______________________________________________</w:t>
      </w:r>
    </w:p>
    <w:p>
      <w:pPr>
        <w:jc w:val="center"/>
        <w:rPr>
          <w:b/>
        </w:rPr>
      </w:pPr>
      <w:r>
        <w:rPr>
          <w:b/>
          <w:rtl w:val="0"/>
        </w:rPr>
        <w:t>ESTUDANTE</w:t>
      </w:r>
    </w:p>
    <w:p>
      <w:pPr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tbl>
      <w:tblPr>
        <w:tblStyle w:val="17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348"/>
        <w:gridCol w:w="50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000FF"/>
                <w:u w:val="single"/>
                <w:rtl w:val="0"/>
              </w:rPr>
              <w:t>Portaria 215 / 2023 - PROGEPE-SA</w:t>
            </w:r>
            <w:r>
              <w:rPr>
                <w:i/>
                <w:color w:val="0000FF"/>
                <w:u w:val="singl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SUPERVISOR DE ESTÁGIO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ORIENTADOR DE ESTÁGIO</w:t>
            </w:r>
          </w:p>
          <w:p>
            <w:pPr>
              <w:spacing w:after="0" w:line="240" w:lineRule="auto"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REPRESENTANTE DA CONCEDENTE</w:t>
            </w:r>
          </w:p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sz w:val="20"/>
        <w:szCs w:val="20"/>
      </w:rPr>
    </w:pPr>
  </w:p>
  <w:tbl>
    <w:tblPr>
      <w:tblStyle w:val="18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OBRIGATÓRIO – EXTERNO – ESTUDANTE DA UNIVASF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oePXNoua+72Wm3oII8XJSXzPofI=" w:salt="PRvcYVNamNd5ptaKD/k8R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630A86"/>
    <w:rsid w:val="4A703BAB"/>
    <w:rsid w:val="790C7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21</TotalTime>
  <ScaleCrop>false</ScaleCrop>
  <LinksUpToDate>false</LinksUpToDate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2024-03-15T14:43:00Z</dcterms:created>
  <dc:creator>Univasf</dc:creator>
  <cp:lastModifiedBy>Estagio Proex</cp:lastModifiedBy>
  <dcterms:modified xsi:type="dcterms:W3CDTF">2024-05-03T16:06:04Z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409E3051AD584ABB90858B21914A76B5_12</vt:lpwstr>
  </property>
</Properties>
</file>