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TERMO DE COMPROMISSO DE ESTÁGIO OBRIGATÓRIO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86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TERMO DE COMPROMISSO DE ESTÁGIO OBRIGATÓRIO, QUE ENTRE SI CELEBRAM A EMPRESA BRASILEIRA DE PESQUISA AGROPECUÁRIA – EMBRAPA E O ALUNO: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COM A INTERVENIÊNCIA DA INSTITUIÇÃO DE ENSINO UNIVERSIDADE FEDERAL DO VALE DO SÃO FRANCISCO - UNIVASF.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88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88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</w:t>
      </w:r>
      <w:r>
        <w:rPr>
          <w:rFonts w:ascii="Arial (W1)" w:hAnsi="Arial (W1)" w:eastAsia="Arial (W1)" w:cs="Arial (W1)"/>
          <w:b/>
          <w:i w:val="0"/>
          <w:smallCaps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EMPRESA BRASILEIRA DE PESQUISA AGROPECUÁRIA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– 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 Semiárido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inscrita no CNPJ/MF sob n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superscript"/>
          <w:rtl w:val="0"/>
        </w:rPr>
        <w:t xml:space="preserve">º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00.348.003/0041-08, sediada em (Cidade/Estado) Petrolina/PE, endereço BR 428 Km 152 – Zona Rural, neste ato representada por seu Chefe Geral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PEDRO CARLOS GAMA DA SILVA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doravante designada simplesmente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e, de outro lado, o aluno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nacionalidade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brasileiro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estado civil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data de nascimento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XX/XX/XXXX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portador do RG nº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Órgão Expedidor: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data de expedição: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XX/XX/XXXX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inscrito no CPF/MF sob o N°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residente e domiciliado em (Cidade/Estado)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endereço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doravante designado simplesmente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com a interveniência da Instituição de Ensino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UNIVERSIDADE FEDERAL DO VALE DO SÃO FRANCISCO - UNIVASF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inscrita no CNPJ/MF sob o nº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05.440.725/0001-14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sediada em (Cidade/Estado)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Petrolina/PE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endereço: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Av. José de Sá Maniçoba, s/n - Centro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neste ato representada por seu Reitor/Diretor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REITOR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nome do representante legal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PAULO CÉSAR FAGUNDES NEVES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doravante designada simplesmente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Instituição de Ensino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resolveram celebrar o presente TERMO DE COMPROMISSO DE ESTÁGIO OBRIGATÓRIO, que será regido pela Lei nº 11.788, de 25.09.2008, e respectivas alterações subsequentes, bem como pelas seguintes cláusulas e condições: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PRIMEIRA – Da Vinculação ao Convênio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Este Termo de Compromisso vincula-se, para todos os efeitos legais, ao Convênio de Concessão de Estágio celebrado em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06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/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05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/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2015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entre 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 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Instituição de Ensino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registrado no SAIC/Embrapa sob o nº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22400.15/0011-0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SEGUNDA – Do Curso ou Programa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é aluno formalmente matriculado/inscrito e com frequência regular no Curso/Programa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iniciado no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º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semestre do ano de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 com sua conclusão prevista para o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°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semestre do ano de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201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nos horários de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: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as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: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tudo de conformidade com a declaração específica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Instituição de Ensino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à qual se vincula o citado Curso/Programa, declaração esta que passa a integrar o presente Termo de Compromisso como Anexo I.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TERCEIRA – Do Objeto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por este instrumento, concede, ao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estágio com vistas a complementar sua formação educacional e à sua preparação para o trabalho produtivo, com sua efetiva atuação nas atividades pertinentes à área de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junto ao Órgão/Departamento/Setor: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de sua Unidade: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Embrapa Semiárido - CPATSA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situada no endereço discriminado no preâmbulo deste instrumento, em consonância com o "PLANO DE ESTÁGIO" que, rubricado pelas partes e pela Instituição de Ensino, integra este Termo de Compromisso como Anexo II.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SUBCLÁUSULA ÚNICA: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Supervisionará o estágio do estudante o empregado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XXXXXXXXXXXXX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QUARTA – Da jornada de atividade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709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obriga-se a cumprir uma jornada de atividade de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(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) horas diárias 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(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) horas semanais, nos seguintes horários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: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às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: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 das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: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às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: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horas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SUBCLÁUSULA PRIMEIRA: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em nível de pós-graduação deverá estar vinculado a um projeto de pesquisa ou processo da Unidade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cujo objetivo esteja relacionado ao tema do trabalho de conclusão do curso a ser elaborado.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SUBCLÁUSULA SEGUNDA: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jornada de atividade do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poderá ser flexibilizada pelo empregado supervisor, desde que mantida sua supervisão e a carga horária definida nesta cláusula.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SUBCLÁUSULA TERCEIRA: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critério do empregado supervisor poderá ser adotado o sistema de compensação de horas, quando compatível com a jornada de atividade definida nesta cláusula.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SUBCLÁUSULA QUARTA: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Se a instituição de ensino adotar verificações de aprendizagem periódicas ou finais, nos períodos de avaliação, devidamente comprovados, a carga horária do estágio será reduzida à metade.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QUINTA – Das Obrigações Especiais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Sem prejuízo do disposto nas demais cláusulas deste instrumento, 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obriga-se especialmente ao seguinte: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28" w:lineRule="auto"/>
        <w:ind w:left="735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atuar com zelo e dedicação na execução de suas atribuições, de forma a evidenciar desempenho satisfatório nas avaliações periódicas a serem realizadas pelo Empregado Supervisor do estágio;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28" w:lineRule="auto"/>
        <w:ind w:left="735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cumprir fielmente todas as instruções, recomendações de normas relativas ao estágio emanadas da Instituição de Ensino e da Embrapa, em especial as constantes do "Plano de Estágio";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28" w:lineRule="auto"/>
        <w:ind w:left="735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manter total reserva em relação a quaisquer dados ou informações a que venha ter acesso em razão de sua atuação no cumprimento do estágio, não repassando-as a terceiros sob qualquer forma ou pretexto, sem prévia autorização formal da Embrapa, independentemente de se tratar ou não de informação reservada, confidencial ou sigilosa;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28" w:lineRule="auto"/>
        <w:ind w:left="735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preencher e assinar a proposta de seguro de acidentes pessoais referente ao Plano de Seguro de Vida em Grupo da Embrapa no ato da celebração deste instrumento;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28" w:lineRule="auto"/>
        <w:ind w:left="735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responsabilizar-se por qualquer dano ou prejuízo que venha a causar ao patrimônio da Embrapa por dolo ou culpa;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28" w:lineRule="auto"/>
        <w:ind w:left="735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manter assiduidade e aproveitamento escolar satisfatório em relação ao curso/programa de que trata a cláusula segunda durante a vigência do estágio;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28" w:lineRule="auto"/>
        <w:ind w:left="735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g)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manter conduta compatível com a ética, os bons costumes e a probidade administrativa no desenvolvimento de estágio, evitando a prática de atos que caracterizem falta grave;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40" w:line="228" w:lineRule="auto"/>
        <w:ind w:left="737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observar a regulamentação interna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no exercício de suas atividades, conforme orientação do empregado supervisor.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SEXTA – Do Acesso às Instalações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acesso à infraestrutura e instalações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pelo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será o estritamente necessário à execução das atividades objeto do estágio, observada a regulamentação interna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SÉTIMA – Dos Resultados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exploração, a qualquer título, dos resultados dos trabalhos realizados pelo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privilegiáveis ou não, pertencerá automática e exclusivamente à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especialmente Direitos da Propriedade Industrial, Direito sobre Cultivares e Direitos Autorais.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OITAVA – Do Seguro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obriga-se a contratar e a custear, direta ou indiretamente, seguro de acidentes pessoais em favor do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que tenham como causa direta o desempenho das atividades decorrentes do estágio, pela seguradora: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GENTE SEGURADORA S/A, apólice nº </w:t>
      </w:r>
      <w:r>
        <w:rPr>
          <w:rFonts w:hint="default"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01.82.0002363.020085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NONA – Do Recesso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É assegurado ao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sempre que o estágio tenha duração igual ou superior a 01 (um) ano, um período de recesso de 30 (trinta) dias, a ser gozado preferencialmente durante suas férias escolares.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640"/>
        </w:tabs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SUBCLÁUSULA ÚNICA: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Os dias de recesso previstos nesta cláusula serão concedidos de maneira proporcional nos casos de o estágio ter duração inferior a 01 (um) ano.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8640"/>
        </w:tabs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DÉCIMA – Do Certificado de Estágio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102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Ao término do estágio com aproveitamento, 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Embrapa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emitirá o correspondente certificado de estágio, do qual constará: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5" w:right="9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identificação do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(nome, nacionalidade, RG, CPF e outros);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5" w:right="9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identificação do curso e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Instituição de Ensino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frequentados pelo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5" w:right="9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unidade de lotação;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5" w:right="9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o período de realização do estágio e respectiva carga horária;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5" w:right="9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as atividades desenvolvidas no estágio, conforme previsto no plano de estágio; 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27" w:line="240" w:lineRule="auto"/>
        <w:ind w:left="705" w:right="9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avaliação quanto ao aproveitamento do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102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102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SUBCLÁUSULA ÚNICA: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emissão do certificado de estágio ficará condicionada à entrega, pelo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da seguinte documentação: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69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nada consta da biblioteca da Embrapa;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69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frequências apuradas durante toda a realização do estágio;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69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formulário de avaliação do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preenchido, assinado e datado pelo empregado supervisor;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69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formulário de avaliação do estágio preenchido, assinado e datado pelo estagiário;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69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crachá, quando for utilizado;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69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relatório do projeto, caso 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esteja vinculado a algum.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DÉCIMA PRIMEIRA – Da Vigência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estágio terá vigência inicial de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XX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(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Por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Extenso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) mês(es), com início em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XX/XX/XXXX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 término em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XX/XX/XXXX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Instituição de Ensino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DÉCIMA SEGUNDA – Da Rescisão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respondendo este pelos prejuízos ocasionados, salvo hipótese de caso fortuito ou de força maior.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G Times" w:hAnsi="CG Times" w:eastAsia="CG Times" w:cs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SUBCLÁUSULA ÚNICA: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Além do acima exposto, o presente Termo de Compromisso extinguirá automaticamente nas seguintes hipóteses: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before="0" w:after="120" w:line="240" w:lineRule="auto"/>
        <w:ind w:left="72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conduta reprovável do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no ambiente de trabalho;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before="0" w:after="120" w:line="240" w:lineRule="auto"/>
        <w:ind w:left="72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conclusão, abandono de curso ou trancamento da matrícula pelo </w:t>
      </w:r>
      <w:r>
        <w:rPr>
          <w:rFonts w:ascii="Arial (W1)" w:hAnsi="Arial (W1)" w:eastAsia="Arial (W1)" w:cs="Arial (W1)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junto à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Instituição de Ensino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interveniente;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before="0" w:after="120" w:line="240" w:lineRule="auto"/>
        <w:ind w:left="72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quando atingido o prazo limite de 02 (dois) anos;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before="0" w:after="120" w:line="240" w:lineRule="auto"/>
        <w:ind w:left="72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ao final do prazo estabelecido no Termo de Compromisso de Estágio, se o mesmo não for prorrogado;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before="0" w:after="120" w:line="240" w:lineRule="auto"/>
        <w:ind w:left="72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extinção do convênio com 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Instituição de Ensino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before="0" w:after="120" w:line="240" w:lineRule="auto"/>
        <w:ind w:left="720" w:right="0" w:firstLine="0"/>
        <w:jc w:val="both"/>
        <w:rPr>
          <w:rFonts w:ascii="Open Sans" w:hAnsi="Open Sans" w:eastAsia="Open Sans" w:cs="Open Sans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insuficiência de desempenho do estagiário no cumprimento do plano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01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DÉCIMA TERCEIRA – Da Denúncia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Quaisquer das partes, independentemente de justo motivo e quando bem lhe convier, poderá denunciar o presente Termo de Compromisso, desde que o faça por escrito, mediante aviso prévio de, pelo menos, 05 (cinco) dias úteis.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DÉCIMA QUARTA – Do Foro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Para solução de quaisquer controvérsias porventura oriundas da execução deste Convênio, as partícipes elegem o Foro da Justiça Federal, Seção Judiciária de Petrolina/PE.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Estando assim justas e acordes, firmam o presente em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03 (três) vias de igual teor e forma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para um só efeito legal, na presença das testemunhas instrumentárias abaixo nomeadas e subscritas.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Petrolina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de </w:t>
      </w:r>
      <w:r>
        <w:rPr>
          <w:rFonts w:ascii="Arial" w:hAnsi="Arial" w:eastAsia="Arial" w:cs="Arial"/>
          <w:b/>
          <w:i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de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2018.</w:t>
      </w:r>
    </w:p>
    <w:tbl>
      <w:tblPr>
        <w:tblStyle w:val="13"/>
        <w:tblW w:w="9786" w:type="dxa"/>
        <w:tblInd w:w="-14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39"/>
        <w:gridCol w:w="49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_ _ _ _ _ _ _ _ _ _ _ _ _ _ _ _ _ _ _ _ _ _</w:t>
            </w: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415"/>
              </w:tabs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_ _ _ _ _ _ _ _ _ _ _ _ _ _ _ _ _ _ _ _ _ 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Pela Embrapa</w:t>
            </w: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Pela Instituição de Ensino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" w:hRule="atLeast"/>
        </w:trPr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54"/>
                <w:tab w:val="left" w:pos="4991"/>
                <w:tab w:val="left" w:pos="5173"/>
              </w:tabs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    _ _ _ _ _ _ _ _ _ _ _ _ _ _ _ _ _ _ _ _ _ _                _ _ _ _ _ _ _ _ _ _ _ _ _ _ _ _ _ _ _ _ 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                            Estudante                                               Professor Orientador da Univasf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__________________________________</w:t>
            </w: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__________________________________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Nome: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CPF:</w:t>
            </w:r>
          </w:p>
        </w:tc>
        <w:tc>
          <w:tcPr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Nome: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CPF: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1418" w:right="1134" w:bottom="1418" w:left="1418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(W1)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G Times" w:hAnsi="CG Times" w:eastAsia="CG Times" w:cs="CG Times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4"/>
      <w:tblW w:w="9356" w:type="dxa"/>
      <w:tblInd w:w="71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2347"/>
      <w:gridCol w:w="2263"/>
      <w:gridCol w:w="1980"/>
      <w:gridCol w:w="2766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928" w:hRule="atLeast"/>
      </w:trPr>
      <w:tc>
        <w:tcPr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both"/>
            <w:rPr>
              <w:rFonts w:ascii="CG Times" w:hAnsi="CG Times" w:eastAsia="CG Times" w:cs="CG Times"/>
              <w:b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Ministério da Agricultura, Pecuária e Abastecimento</w:t>
          </w:r>
        </w:p>
      </w:tc>
      <w:tc>
        <w:tcPr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rFonts w:ascii="CG Times" w:hAnsi="CG Times" w:eastAsia="CG Times" w:cs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 xml:space="preserve">Empresa Brasileira de Pesquisa Agropecuária  - </w:t>
          </w:r>
          <w:r>
            <w:rPr>
              <w:rFonts w:ascii="CG Times" w:hAnsi="CG Times" w:eastAsia="CG Times" w:cs="CG Times"/>
              <w:b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Embrapa</w:t>
          </w:r>
        </w:p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120" w:line="240" w:lineRule="auto"/>
            <w:ind w:left="0" w:right="0" w:firstLine="0"/>
            <w:jc w:val="left"/>
            <w:rPr>
              <w:rFonts w:ascii="CG Times" w:hAnsi="CG Times" w:eastAsia="CG Times" w:cs="CG Times"/>
              <w:b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Embrapa Semiárido</w:t>
          </w:r>
        </w:p>
      </w:tc>
      <w:tc>
        <w:tcPr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both"/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BR 428, km 152</w:t>
          </w:r>
        </w:p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both"/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Zona Rural, C.P. 23</w:t>
          </w:r>
        </w:p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both"/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CEP: 56302-970</w:t>
          </w:r>
        </w:p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both"/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Petrolina-PE</w:t>
          </w:r>
        </w:p>
      </w:tc>
      <w:tc>
        <w:tcPr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both"/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Fone: (87)3866.3600</w:t>
          </w:r>
        </w:p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-218" w:right="0" w:firstLine="218"/>
            <w:jc w:val="both"/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CG Times" w:hAnsi="CG Times" w:eastAsia="CG Times" w:cs="CG Times"/>
              <w:b w:val="0"/>
              <w:i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>Fax: (87)3866.3815</w:t>
          </w:r>
        </w:p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-218" w:right="0" w:firstLine="218"/>
            <w:jc w:val="both"/>
            <w:rPr>
              <w:rFonts w:ascii="CG Times" w:hAnsi="CG Times" w:eastAsia="CG Times" w:cs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fldChar w:fldCharType="begin"/>
          </w:r>
          <w:r>
            <w:instrText xml:space="preserve"> HYPERLINK "mailto:sac@cpatsa.embrapa.br" \h </w:instrText>
          </w:r>
          <w:r>
            <w:fldChar w:fldCharType="separate"/>
          </w:r>
          <w:r>
            <w:rPr>
              <w:rFonts w:ascii="CG Times" w:hAnsi="CG Times" w:eastAsia="CG Times" w:cs="CG Times"/>
              <w:b w:val="0"/>
              <w:i w:val="0"/>
              <w:smallCaps w:val="0"/>
              <w:strike w:val="0"/>
              <w:color w:val="0000FF"/>
              <w:sz w:val="20"/>
              <w:szCs w:val="20"/>
              <w:u w:val="single"/>
              <w:shd w:val="clear" w:fill="auto"/>
              <w:vertAlign w:val="baseline"/>
              <w:rtl w:val="0"/>
            </w:rPr>
            <w:t>sac@cpatsa.embrapa.br</w:t>
          </w:r>
          <w:r>
            <w:rPr>
              <w:rFonts w:ascii="CG Times" w:hAnsi="CG Times" w:eastAsia="CG Times" w:cs="CG Times"/>
              <w:b w:val="0"/>
              <w:i w:val="0"/>
              <w:smallCaps w:val="0"/>
              <w:strike w:val="0"/>
              <w:color w:val="0000FF"/>
              <w:sz w:val="20"/>
              <w:szCs w:val="20"/>
              <w:u w:val="single"/>
              <w:shd w:val="clear" w:fill="auto"/>
              <w:vertAlign w:val="baseline"/>
              <w:rtl w:val="0"/>
            </w:rPr>
            <w:fldChar w:fldCharType="end"/>
          </w: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G Times" w:hAnsi="CG Times" w:eastAsia="CG Times" w:cs="CG Times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G Times" w:hAnsi="CG Times" w:eastAsia="CG Times" w:cs="CG Times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2009140</wp:posOffset>
          </wp:positionH>
          <wp:positionV relativeFrom="paragraph">
            <wp:posOffset>-337820</wp:posOffset>
          </wp:positionV>
          <wp:extent cx="2057400" cy="7524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3FD5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sz w:val="24"/>
      <w:szCs w:val="24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60" w:line="240" w:lineRule="auto"/>
      <w:ind w:left="0" w:right="0" w:firstLine="0"/>
      <w:jc w:val="center"/>
    </w:pPr>
    <w:rPr>
      <w:rFonts w:ascii="Arial" w:hAnsi="Arial" w:eastAsia="Arial" w:cs="Arial"/>
      <w:color w:val="000000"/>
      <w:sz w:val="24"/>
      <w:szCs w:val="24"/>
      <w:u w:val="none"/>
      <w:shd w:val="clear" w:fill="auto"/>
      <w:vertAlign w:val="baseline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2024-03-15T14:46:42Z</dcterms:created>
  <dc:creator>Univasf</dc:creator>
  <cp:lastModifiedBy>Estagio Proex</cp:lastModifiedBy>
  <dcterms:modified xsi:type="dcterms:W3CDTF">2024-03-15T15:55:05Z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4C6755484A5D46B98C042D87A4A0483D_12</vt:lpwstr>
  </property>
</Properties>
</file>