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nos termos da Lei nº 11.788/08 e demais normativas reguladoras.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984"/>
        <w:gridCol w:w="3432"/>
        <w:tblGridChange w:id="0">
          <w:tblGrid>
            <w:gridCol w:w="2552"/>
            <w:gridCol w:w="2268"/>
            <w:gridCol w:w="1984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4"/>
        <w:gridCol w:w="748"/>
        <w:gridCol w:w="851"/>
        <w:gridCol w:w="3573"/>
        <w:tblGridChange w:id="0">
          <w:tblGrid>
            <w:gridCol w:w="5064"/>
            <w:gridCol w:w="748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AC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Seguradora: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42875" cy="133350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MAPFRE VIDA S.A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33350" cy="133350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Apólice: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61925" cy="219075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206323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42875" cy="219075"/>
                  <wp:effectExtent b="0" l="0" r="0" t="0"/>
                  <wp:docPr id="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ESTÁGIO 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se seguem: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participação em programa de estágio não caracterizará vínculo empregatício de qualquer natureza (art. 3º da Lei nº 11.788/08).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será desenvolvido no período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 horário 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carga horária diária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 total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compatíveis com o horário escolar do ESTUDANTE.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poderá ser prorrogado por meio de emissão de Termo Aditivo, o qual deverá ser providenciado com antecedência mínima de 20 (vinte) dias da data de encerramento contida neste TCE.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primeiro.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segundo.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firmado com portador de deficiência não se submete ao limite temporal previsto no parágrafo primeiro da cláusula quarta, podendo ser prorrogado até a conclusão do curso ou colação de grau.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dias de recesso previstos na cláusula quinta serão concedidos de maneira proporcional, caso o estágio tenha duração inferior a 01 (um) ano.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vigência deste TCE, o ESTUDANTE será protegido contra acidentes pessoais através de contrato firmado com empresa seguradora e providenciado pela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conforme previsto no art. 9º, IV, da Lei nº 11.788/08.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OITAVA.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NONA.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71450" cy="17145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não receberá bolsa de estágio.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71450" cy="171450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receberá bolsa de estágio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considerando-se a frequência mensal, deduzidas as faltas não justificadas, e auxílio-transporte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por dia efetivamente estagiado.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nenhuma hipótese poderá ser cobrada do ESTUDANTE qualquer taxa adicional referente às providências administrativas para a obtenção e/ou realização de estágio curricular.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DESENVOLVIDAS:</w:t>
      </w:r>
    </w:p>
    <w:tbl>
      <w:tblPr>
        <w:tblStyle w:val="Table4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PRIMEIRA.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hipótese de desligamento do estágio em data anterior à estabelecida no TCE, será necessária a formalização de Termo de Rescisão.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responderá pelas perdas e danos decorrentes da inobservância das normas internas ou das constantes no presente TCE.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716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94188"/>
                          <a:ext cx="6826885" cy="1571625"/>
                          <a:chOff x="1932558" y="2994188"/>
                          <a:chExt cx="6826885" cy="1571625"/>
                        </a:xfrm>
                      </wpg:grpSpPr>
                      <wpg:grpSp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25, de 25 de Janeiro de 2021)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71625"/>
                <wp:effectExtent b="0" l="0" r="0" t="0"/>
                <wp:wrapNone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3" w:type="default"/>
      <w:footerReference r:id="rId14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COMPROMISSO DE ESTÁGIO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3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4" name="image4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OBRIGATÓRIO – EXTERNO – ESTUDANTE DA UNIVASF</w:t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header" Target="header1.xml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