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240" w:lineRule="auto"/>
        <w:ind w:left="112" w:right="1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2269"/>
        <w:gridCol w:w="1986"/>
        <w:gridCol w:w="3433"/>
        <w:tblGridChange w:id="0">
          <w:tblGrid>
            <w:gridCol w:w="2552"/>
            <w:gridCol w:w="2269"/>
            <w:gridCol w:w="1986"/>
            <w:gridCol w:w="3433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4"/>
            <w:shd w:fill="bebebe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3476" w:right="34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DE ENSINO/CONCEDENTE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Razão social: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FUNDAÇÃO UNIVERSIDADE FEDERAL DO VALE DO SÃO FRANCISCO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05.440.725/0001-14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Representante legal: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LÚCIA MARISY SOUZA RIBEIRO DE OLIVEIRA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Pró-Reitora de Extensão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AVENIDA JOSÉ DE SÁ MANIÇOBA, S/N - CENTRO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estagio.proex@univasf.edu.br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56.304-205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Escolaridade: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formação: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o supervisor não tenha mesma formação, ele possui experiência profissional na área de conhecimento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7" w:lineRule="auto"/>
              <w:ind w:left="107" w:right="0" w:firstLine="0"/>
              <w:jc w:val="left"/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☒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Seguro de vida e acidentes pessoais – Seguradora: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MAPFRE VIDA S.A.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206323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7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4"/>
        <w:gridCol w:w="849"/>
        <w:gridCol w:w="3574"/>
        <w:tblGridChange w:id="0">
          <w:tblGrid>
            <w:gridCol w:w="5814"/>
            <w:gridCol w:w="849"/>
            <w:gridCol w:w="3574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3"/>
            <w:shd w:fill="bebebe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4596" w:right="45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ESTUDANTE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5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se seguem: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112" w:right="1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4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compatíveis com o horário escolar do ESTUDANTE.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CONCEDENTE, conforme previsto no art. 9º, IV, da Lei nº 11.788/08.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4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40" w:top="1640" w:left="740" w:right="700" w:header="425" w:footer="441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240" w:lineRule="auto"/>
        <w:ind w:left="112" w:right="1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atividades; f) designar profissional com experiência ou formação na mesma área de conhecimento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52">
      <w:pPr>
        <w:spacing w:line="242" w:lineRule="auto"/>
        <w:ind w:left="112" w:right="149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NONA. </w:t>
      </w:r>
      <w:r w:rsidDel="00000000" w:rsidR="00000000" w:rsidRPr="00000000">
        <w:rPr>
          <w:sz w:val="20"/>
          <w:szCs w:val="20"/>
          <w:rtl w:val="0"/>
        </w:rPr>
        <w:t xml:space="preserve">O ESTUDANTE receberá bolsa de estágio no valor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R$ </w:t>
      </w:r>
      <w:r w:rsidDel="00000000" w:rsidR="00000000" w:rsidRPr="00000000">
        <w:rPr>
          <w:color w:val="808080"/>
          <w:rtl w:val="0"/>
        </w:rPr>
        <w:t xml:space="preserve">Escolha um item.</w:t>
      </w:r>
      <w:r w:rsidDel="00000000" w:rsidR="00000000" w:rsidRPr="00000000">
        <w:rPr>
          <w:sz w:val="20"/>
          <w:szCs w:val="20"/>
          <w:rtl w:val="0"/>
        </w:rPr>
        <w:t xml:space="preserve">, considerando-se a frequência mensal, deduzidas as faltas não justificadas. Quanto ao Vale-transporte, fica firmado que o (a) estagiário (a) não receberá Vale-transporte até o final da vigência deste Termo de Compromisso de Estágio - incluindo suas prorrogações, nos termos do Art. 28, Parágrafo Único da Instrução Normativa nº 213/2019.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1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12"/>
        <w:jc w:val="both"/>
        <w:rPr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ATIVIDADES DESENVOLVIDAS:</w:t>
      </w:r>
    </w:p>
    <w:tbl>
      <w:tblPr>
        <w:tblStyle w:val="Table3"/>
        <w:tblW w:w="1009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9"/>
        <w:tblGridChange w:id="0">
          <w:tblGrid>
            <w:gridCol w:w="100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06" w:lineRule="auto"/>
        <w:ind w:firstLine="11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DÉCIMA PRIMEIRA. </w:t>
      </w:r>
      <w:r w:rsidDel="00000000" w:rsidR="00000000" w:rsidRPr="00000000">
        <w:rPr>
          <w:sz w:val="20"/>
          <w:szCs w:val="20"/>
          <w:rtl w:val="0"/>
        </w:rPr>
        <w:t xml:space="preserve">Caberá ao ESTUDANTE cumprir a programação estabelecida, ficando responsável pelo envio –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1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127000</wp:posOffset>
                </wp:positionV>
                <wp:extent cx="2526665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82668" y="3779365"/>
                          <a:ext cx="2526665" cy="1270"/>
                        </a:xfrm>
                        <a:custGeom>
                          <a:rect b="b" l="l" r="r" t="t"/>
                          <a:pathLst>
                            <a:path extrusionOk="0" h="120000"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127000</wp:posOffset>
                </wp:positionV>
                <wp:extent cx="2526665" cy="1270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pStyle w:val="Heading1"/>
        <w:spacing w:before="19" w:lineRule="auto"/>
        <w:ind w:left="2764" w:right="2801" w:firstLine="0"/>
        <w:rPr/>
      </w:pPr>
      <w:r w:rsidDel="00000000" w:rsidR="00000000" w:rsidRPr="00000000">
        <w:rPr>
          <w:rtl w:val="0"/>
        </w:rPr>
        <w:t xml:space="preserve">ESTUDANTE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5640"/>
        </w:tabs>
        <w:spacing w:line="20" w:lineRule="auto"/>
        <w:ind w:left="373" w:firstLine="0"/>
        <w:rPr>
          <w:sz w:val="2"/>
          <w:szCs w:val="2"/>
        </w:rPr>
        <w:sectPr>
          <w:type w:val="nextPage"/>
          <w:pgSz w:h="16840" w:w="11910" w:orient="portrait"/>
          <w:pgMar w:bottom="640" w:top="1640" w:left="740" w:right="700" w:header="425" w:footer="441"/>
        </w:sect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0" distR="0">
                <wp:extent cx="2779395" cy="825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6303" y="3775873"/>
                          <a:ext cx="2779395" cy="8255"/>
                          <a:chOff x="3956303" y="3775873"/>
                          <a:chExt cx="2779395" cy="3810"/>
                        </a:xfrm>
                      </wpg:grpSpPr>
                      <wpg:grpSp>
                        <wpg:cNvGrpSpPr/>
                        <wpg:grpSpPr>
                          <a:xfrm>
                            <a:off x="3956303" y="3775873"/>
                            <a:ext cx="2779395" cy="3810"/>
                            <a:chOff x="0" y="0"/>
                            <a:chExt cx="4377" cy="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6"/>
                              <a:ext cx="437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79395" cy="825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39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0" distR="0">
                <wp:extent cx="2779395" cy="825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6303" y="3775873"/>
                          <a:ext cx="2779395" cy="8255"/>
                          <a:chOff x="3956303" y="3775873"/>
                          <a:chExt cx="2779395" cy="3810"/>
                        </a:xfrm>
                      </wpg:grpSpPr>
                      <wpg:grpSp>
                        <wpg:cNvGrpSpPr/>
                        <wpg:grpSpPr>
                          <a:xfrm>
                            <a:off x="3956303" y="3775873"/>
                            <a:ext cx="2779395" cy="3810"/>
                            <a:chOff x="0" y="0"/>
                            <a:chExt cx="4377" cy="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6"/>
                              <a:ext cx="437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79395" cy="8255"/>
                <wp:effectExtent b="0" l="0" r="0" 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39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ind w:left="406" w:right="26" w:firstLine="0"/>
        <w:rPr/>
      </w:pPr>
      <w:r w:rsidDel="00000000" w:rsidR="00000000" w:rsidRPr="00000000">
        <w:rPr>
          <w:rtl w:val="0"/>
        </w:rPr>
        <w:t xml:space="preserve">PRÓ-REITORIA DE EXTENSÃO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6" w:right="2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(Conforme Portaria nº. 25, de 25 de Janeiro de 2021)</w:t>
      </w:r>
    </w:p>
    <w:p w:rsidR="00000000" w:rsidDel="00000000" w:rsidP="00000000" w:rsidRDefault="00000000" w:rsidRPr="00000000" w14:paraId="0000006B">
      <w:pPr>
        <w:pStyle w:val="Heading1"/>
        <w:ind w:left="408" w:right="652" w:firstLine="0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SUPERVISOR DE ESTÁGIO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8" w:right="65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640" w:top="1640" w:left="740" w:right="700" w:header="425" w:footer="441"/>
          <w:cols w:equalWidth="0" w:num="2">
            <w:col w:space="691" w:w="4889.5"/>
            <w:col w:space="0" w:w="4889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(Assinatura sob carimbo pessoal ou por extenso)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30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779395" cy="825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6303" y="3775873"/>
                          <a:ext cx="2779395" cy="8255"/>
                          <a:chOff x="3956303" y="3775873"/>
                          <a:chExt cx="2779395" cy="3810"/>
                        </a:xfrm>
                      </wpg:grpSpPr>
                      <wpg:grpSp>
                        <wpg:cNvGrpSpPr/>
                        <wpg:grpSpPr>
                          <a:xfrm>
                            <a:off x="3956303" y="3775873"/>
                            <a:ext cx="2779395" cy="3810"/>
                            <a:chOff x="0" y="0"/>
                            <a:chExt cx="4377" cy="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6"/>
                              <a:ext cx="437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79395" cy="825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39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spacing w:line="242.99999999999997" w:lineRule="auto"/>
        <w:ind w:left="2808" w:right="2797" w:firstLine="0"/>
        <w:rPr/>
      </w:pPr>
      <w:r w:rsidDel="00000000" w:rsidR="00000000" w:rsidRPr="00000000">
        <w:rPr>
          <w:rtl w:val="0"/>
        </w:rPr>
        <w:t xml:space="preserve">ORIENTADOR DE ESTÁGIO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2808" w:right="280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(Assinatura sob carimbo pessoal ou por extenso com SIAPE)</w:t>
      </w:r>
    </w:p>
    <w:sectPr>
      <w:type w:val="continuous"/>
      <w:pgSz w:h="16840" w:w="11910" w:orient="portrait"/>
      <w:pgMar w:bottom="640" w:top="1640" w:left="740" w:right="700" w:header="425" w:footer="4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10261600</wp:posOffset>
              </wp:positionV>
              <wp:extent cx="2972435" cy="26225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864545" y="3653635"/>
                        <a:ext cx="2962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3.99999618530273"/>
                            <w:ind w:left="11.000000238418579" w:right="11.000000238418579" w:firstLine="11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Av. José de Sá Maniçoba, S/N – Centro – Petrolina-PE – CEP 56.304-205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8.999999761581421" w:right="11.000000238418579" w:firstLine="8.99999976158142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Petrolina – Tel/Fax (87) 2101-6773 – estagio.proex@univasf.edu.br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10261600</wp:posOffset>
              </wp:positionV>
              <wp:extent cx="2972435" cy="26225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24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5718809</wp:posOffset>
          </wp:positionH>
          <wp:positionV relativeFrom="page">
            <wp:posOffset>269874</wp:posOffset>
          </wp:positionV>
          <wp:extent cx="1266291" cy="393700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291" cy="393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5880734</wp:posOffset>
          </wp:positionH>
          <wp:positionV relativeFrom="page">
            <wp:posOffset>720724</wp:posOffset>
          </wp:positionV>
          <wp:extent cx="931544" cy="31242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4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523558</wp:posOffset>
              </wp:positionH>
              <wp:positionV relativeFrom="page">
                <wp:posOffset>402907</wp:posOffset>
              </wp:positionV>
              <wp:extent cx="5057775" cy="5289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21875" y="3520285"/>
                        <a:ext cx="504825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509.0000152587890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TERMO DE COMPROMISSO DE ESTÁGIO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NÃO OBRIGATÓRIO – INTERNO – ESTUDANTE DA UNIVASF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523558</wp:posOffset>
              </wp:positionH>
              <wp:positionV relativeFrom="page">
                <wp:posOffset>402907</wp:posOffset>
              </wp:positionV>
              <wp:extent cx="5057775" cy="5289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775" cy="528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" w:lineRule="auto"/>
      <w:ind w:left="112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508.9999999999999" w:lineRule="auto"/>
      <w:ind w:left="20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2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mailto:estagio.proex@univasf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