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708660" cy="698500"/>
            <wp:effectExtent b="0" l="0" r="0" t="0"/>
            <wp:docPr descr="https://lh5.googleusercontent.com/yTNSb0f6gQzdgw7M1JDi1OfHf4Ib9MdgxSLR0igKm5pIsgzcq55Ln55Eehs1fME9Xz7Lex0TiodkzdxOhSAls-cO3Q8FnkB9rO0zViUJvBYy8qfgT4uIlpRYDEG9pWrhQIbRWqoHws1gdIqZqw" id="15" name="image2.png"/>
            <a:graphic>
              <a:graphicData uri="http://schemas.openxmlformats.org/drawingml/2006/picture">
                <pic:pic>
                  <pic:nvPicPr>
                    <pic:cNvPr descr="https://lh5.googleusercontent.com/yTNSb0f6gQzdgw7M1JDi1OfHf4Ib9MdgxSLR0igKm5pIsgzcq55Ln55Eehs1fME9Xz7Lex0TiodkzdxOhSAls-cO3Q8FnkB9rO0zViUJvBYy8qfgT4uIlpRYDEG9pWrhQIbRWqoHws1gdIqZqw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do Vale do São Francisco – UNIVASF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Conselho Gestor do Espaço Plural.</w:t>
      </w:r>
    </w:p>
    <w:p w:rsidR="00000000" w:rsidDel="00000000" w:rsidP="00000000" w:rsidRDefault="00000000" w:rsidRPr="00000000" w14:paraId="00000005">
      <w:pPr>
        <w:jc w:val="center"/>
        <w:rPr>
          <w:rFonts w:ascii="Quattrocento Sans" w:cs="Quattrocento Sans" w:eastAsia="Quattrocento Sans" w:hAnsi="Quattrocento Sans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50505"/>
          <w:highlight w:val="white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 Formulário de Execução de Programas e Projetos deEnsino, Pesquisa e  Extensão no Espaço Plural</w:t>
        <w:br w:type="textWrapping"/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Os projetos e programas de ensino, pesquisa, extensão e inovação a serem desenvolvidos no Espaço Plural devem ser previamente aprovados pela Câmara de Extensão, cadastrados na Pró-reitoria de Extensão e avaliados pelo Conselho Gestor UNIVERSIDADE FEDERAL DO VALE DO SÃO FRANCISCO CONSELHO UNIVERSITÁRIO antes de sua execução; permitindo que ocorra o devido planejamento e apoio a ser prestado.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br w:type="textWrapping"/>
        <w:t xml:space="preserve">1. Nome do Projeto: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br w:type="textWrapping"/>
        <w:t xml:space="preserve">2. Docente Responsável: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3. Telefone para contato:</w:t>
        <w:br w:type="textWrapping"/>
        <w:br w:type="textWrapping"/>
        <w:t xml:space="preserve">4. Finalidade do Projeto: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5. Período de Execução do Projeto/programa:</w:t>
        <w:br w:type="textWrapping"/>
        <w:br w:type="textWrapping"/>
        <w:t xml:space="preserve">6. Dependências do Espaço Plural que serão utilizadas para execução do Projeto/programa: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(      ) Salas de aula </w:t>
        <w:br w:type="textWrapping"/>
        <w:t xml:space="preserve">(      ) Auditório com cadeiras tipo carteiras</w:t>
        <w:br w:type="textWrapping"/>
        <w:t xml:space="preserve">(      ) Alojamento</w:t>
        <w:br w:type="textWrapping"/>
        <w:t xml:space="preserve">(      ) Refeitório</w:t>
        <w:br w:type="textWrapping"/>
        <w:t xml:space="preserve">(      ) Cozinha</w:t>
        <w:br w:type="textWrapping"/>
        <w:t xml:space="preserve">(      ) Sanitários</w:t>
        <w:br w:type="textWrapping"/>
        <w:t xml:space="preserve">(      ) Biblioteca</w:t>
        <w:br w:type="textWrapping"/>
        <w:t xml:space="preserve">(      ) Laboratório de Informática</w:t>
        <w:br w:type="textWrapping"/>
        <w:t xml:space="preserve">(      )Visita aos projetos do Espaço Plural</w:t>
        <w:br w:type="textWrapping"/>
        <w:t xml:space="preserve">(      ) Sisteminha Espaço Plural</w:t>
        <w:br w:type="textWrapping"/>
        <w:t xml:space="preserve">(      ) Horta Comunitária </w:t>
        <w:br w:type="textWrapping"/>
        <w:t xml:space="preserve">(      ) EACC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(      ) Agrofloresta Espaço Plural Francisco Roberto Caporal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(     ) CRC Univasf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(     ) Outra área/especificar 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O projeto foi aprovado pela respectiva Câmara de Ensino, pesquisa e Extensão da Univasf? (      ) SIM   (      )  NÃO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Anexou o projeto ou programa e respectivos materiais, serviços e/ou animais a serem utilizados?  (      ) SIM   (      )  NÃO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O projeto tem custo/orçamento prévio? (      ) SIM   (      )  NÃO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Parecer do relator do Conselho Gestor: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Parecer final do Conselho Gestor em: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Aprovado  (      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Reprovado  (      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t xml:space="preserve">Observações: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highlight w:val="white"/>
          <w:rtl w:val="0"/>
        </w:rPr>
        <w:br w:type="textWrapping"/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As salas de aula e auditório  para serem utilizados necessitam de prévio agendamento, através do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espacoplural@univasf.edu.br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 vez que,  além das aulas dos programas de mestrado em extensão rural  e doutorado em agroecologia, temos outras atividades de extensão agendadas. Anexo I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2. Nos alojamentos dispomos de  quartos com ar condicionado com camas tipo beliche com alas masculinas e femininas, não dispomos de roupas de camas nem toalhas, cada hóspede deverá trazer sua roupa de cama, toalhas e itens de higiene pessoal. Anexo II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3. Não dispomos de cozinheiras, gêneros alimentícios e gás de cozinha  para utilização da cozinha e refeitório, o responsável pelo projeto deverá se responsabilizar pela aquisição dos gêneros alimentícios, conservação dos mesmos, preparação das refeições, limpeza e higienização dos espaços utilizados. Anexo III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  <w:rtl w:val="0"/>
        </w:rPr>
        <w:t xml:space="preserve">4. O responsável pelo projeto assina Termo de Compromisso de utilização dos Espaços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Juazeiro-BA,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1a0dab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 Auxiliadora Tavares da Paixão</w:t>
        <w:br w:type="textWrapping"/>
        <w:t xml:space="preserve">Presidente do Conselho Gestor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</w:t>
        <w:br w:type="textWrapping"/>
        <w:t xml:space="preserve">Coordenação Administrativa do Espaço Plural  UNIVASF</w:t>
      </w:r>
      <w:r w:rsidDel="00000000" w:rsidR="00000000" w:rsidRPr="00000000">
        <w:fldChar w:fldCharType="begin"/>
        <w:instrText xml:space="preserve"> HYPERLINK "https://www.escavador.com/sobre/3150530/rene-geraldo-cordeiro-silva-junior"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fldChar w:fldCharType="end"/>
      </w:r>
      <w:r w:rsidDel="00000000" w:rsidR="00000000" w:rsidRPr="00000000">
        <w:rPr/>
        <w:drawing>
          <wp:inline distB="0" distT="0" distL="0" distR="0">
            <wp:extent cx="5400040" cy="894070"/>
            <wp:effectExtent b="0" l="0" r="0" t="0"/>
            <wp:docPr descr="C:\Users\Vivianni\Desktop\Downloads\Logo Espaço Plural.png" id="14" name="image1.png"/>
            <a:graphic>
              <a:graphicData uri="http://schemas.openxmlformats.org/drawingml/2006/picture">
                <pic:pic>
                  <pic:nvPicPr>
                    <pic:cNvPr descr="C:\Users\Vivianni\Desktop\Downloads\Logo Espaço Plural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4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708660" cy="698500"/>
            <wp:effectExtent b="0" l="0" r="0" t="0"/>
            <wp:docPr descr="https://lh5.googleusercontent.com/yTNSb0f6gQzdgw7M1JDi1OfHf4Ib9MdgxSLR0igKm5pIsgzcq55Ln55Eehs1fME9Xz7Lex0TiodkzdxOhSAls-cO3Q8FnkB9rO0zViUJvBYy8qfgT4uIlpRYDEG9pWrhQIbRWqoHws1gdIqZqw" id="12" name="image2.png"/>
            <a:graphic>
              <a:graphicData uri="http://schemas.openxmlformats.org/drawingml/2006/picture">
                <pic:pic>
                  <pic:nvPicPr>
                    <pic:cNvPr descr="https://lh5.googleusercontent.com/yTNSb0f6gQzdgw7M1JDi1OfHf4Ib9MdgxSLR0igKm5pIsgzcq55Ln55Eehs1fME9Xz7Lex0TiodkzdxOhSAls-cO3Q8FnkB9rO0zViUJvBYy8qfgT4uIlpRYDEG9pWrhQIbRWqoHws1gdIqZqw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do Vale do São Francisco – UNIVASF 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Conselho Gestor do Espaço Plural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 - Salas de Aula/Auditório/ Laboratório de Informática e Biblioteca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905"/>
        <w:gridCol w:w="1290"/>
        <w:gridCol w:w="3150"/>
        <w:tblGridChange w:id="0">
          <w:tblGrid>
            <w:gridCol w:w="1380"/>
            <w:gridCol w:w="1905"/>
            <w:gridCol w:w="1290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26152371208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Utilizada pelo EACC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Térreo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61972848461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andar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8.54511416702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andar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61972848461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andar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.9033189395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Auditório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 carteiras tipo escolar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 andar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Caso seja necessário poderá dobrar a quantidade (responsável pelo Projeto) </w:t>
            </w:r>
          </w:p>
        </w:tc>
      </w:tr>
      <w:tr>
        <w:trPr>
          <w:cantSplit w:val="0"/>
          <w:trHeight w:val="761.26152371208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Lab. Informática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Biblioteca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Nosso auditório possui datashow, mesa e caixas de som, microfones e aparelho de transmissão on-line. Caso seja do interesse a utilização dos mesmos,  recomendamos a contratação de técnico específico para utilização dessa aparelhagem;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 é permitido a entrada de pessoas no auditório, devidamente vacinadas contra Covid 19;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Nosso auditório possui gelágua, contudo o projeto necessita  providenciar a aquisição dos garrafões de água mineral.  Recomendamos que cada participante utilize sua garrafa para beber água, não temos descartáveis;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salas de aula não possuem datashow.  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708660" cy="698500"/>
            <wp:effectExtent b="0" l="0" r="0" t="0"/>
            <wp:docPr descr="https://lh5.googleusercontent.com/yTNSb0f6gQzdgw7M1JDi1OfHf4Ib9MdgxSLR0igKm5pIsgzcq55Ln55Eehs1fME9Xz7Lex0TiodkzdxOhSAls-cO3Q8FnkB9rO0zViUJvBYy8qfgT4uIlpRYDEG9pWrhQIbRWqoHws1gdIqZqw" id="11" name="image2.png"/>
            <a:graphic>
              <a:graphicData uri="http://schemas.openxmlformats.org/drawingml/2006/picture">
                <pic:pic>
                  <pic:nvPicPr>
                    <pic:cNvPr descr="https://lh5.googleusercontent.com/yTNSb0f6gQzdgw7M1JDi1OfHf4Ib9MdgxSLR0igKm5pIsgzcq55Ln55Eehs1fME9Xz7Lex0TiodkzdxOhSAls-cO3Q8FnkB9rO0zViUJvBYy8qfgT4uIlpRYDEG9pWrhQIbRWqoHws1gdIqZqw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do Vale do São Francisco – UNIVASF 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Conselho Gestor do Espaço Plural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II  - Alojamento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center" w:pos="4252"/>
          <w:tab w:val="right" w:pos="8504"/>
          <w:tab w:val="left" w:pos="709"/>
        </w:tabs>
        <w:spacing w:after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20.0" w:type="dxa"/>
        <w:jc w:val="left"/>
        <w:tblInd w:w="629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5"/>
        <w:gridCol w:w="4095"/>
        <w:tblGridChange w:id="0">
          <w:tblGrid>
            <w:gridCol w:w="3525"/>
            <w:gridCol w:w="4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do quarto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Quantidade de Camas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camas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tabs>
                <w:tab w:val="center" w:pos="4252"/>
                <w:tab w:val="right" w:pos="8504"/>
                <w:tab w:val="left" w:pos="709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86</w:t>
            </w:r>
          </w:p>
        </w:tc>
      </w:tr>
    </w:tbl>
    <w:p w:rsidR="00000000" w:rsidDel="00000000" w:rsidP="00000000" w:rsidRDefault="00000000" w:rsidRPr="00000000" w14:paraId="00000084">
      <w:p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 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camas são tipo beliche e os quartos possuem ar condicionado tipo inverter;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Possuímos banheiros femininos e masculinos  coletivos com chuveiro;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possuímos</w:t>
      </w:r>
      <w:r w:rsidDel="00000000" w:rsidR="00000000" w:rsidRPr="00000000">
        <w:rPr>
          <w:sz w:val="24"/>
          <w:szCs w:val="24"/>
          <w:rtl w:val="0"/>
        </w:rPr>
        <w:t xml:space="preserve"> roupas de cama, toalhas, travesseiros e material de higiene pessoal (cada hóspede deverá levar o seu);</w:t>
        <w:tab/>
      </w:r>
    </w:p>
    <w:p w:rsidR="00000000" w:rsidDel="00000000" w:rsidP="00000000" w:rsidRDefault="00000000" w:rsidRPr="00000000" w14:paraId="00000088">
      <w:p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Caberá ao responsável pelo projeto: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encaminhar a listagem de todas as pessoas que ficarão hospedadas com nome completo, telefone (Whatsapp se tiver) e  data do nascimento em meio digital, ou seja,  de preferência uma planilha;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providenciar a contratação de pessoal de  limpeza para os quartos do alojamento antes, durante e após a hospedagem requerida;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cartão de vacinação atualizado de todos os/as hóspedes contra covid 19 com antecedência de 48 horas antes da hospedagem, o comprovante de vacina deverá estar legível com nome completo e digitalizado (de preferência do conectsus); para  fins de verificação.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tabs>
          <w:tab w:val="center" w:pos="4252"/>
          <w:tab w:val="right" w:pos="8504"/>
          <w:tab w:val="left" w:pos="709"/>
        </w:tabs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adquirir  material de limpeza, panos de chão para utilização nos alojamentos. </w:t>
      </w:r>
    </w:p>
    <w:p w:rsidR="00000000" w:rsidDel="00000000" w:rsidP="00000000" w:rsidRDefault="00000000" w:rsidRPr="00000000" w14:paraId="0000008D">
      <w:p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4252"/>
          <w:tab w:val="right" w:pos="850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Observação: No prédio do Alojamento não possuímos rede WI-FI.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708660" cy="698500"/>
            <wp:effectExtent b="0" l="0" r="0" t="0"/>
            <wp:docPr descr="https://lh5.googleusercontent.com/yTNSb0f6gQzdgw7M1JDi1OfHf4Ib9MdgxSLR0igKm5pIsgzcq55Ln55Eehs1fME9Xz7Lex0TiodkzdxOhSAls-cO3Q8FnkB9rO0zViUJvBYy8qfgT4uIlpRYDEG9pWrhQIbRWqoHws1gdIqZqw" id="13" name="image2.png"/>
            <a:graphic>
              <a:graphicData uri="http://schemas.openxmlformats.org/drawingml/2006/picture">
                <pic:pic>
                  <pic:nvPicPr>
                    <pic:cNvPr descr="https://lh5.googleusercontent.com/yTNSb0f6gQzdgw7M1JDi1OfHf4Ib9MdgxSLR0igKm5pIsgzcq55Ln55Eehs1fME9Xz7Lex0TiodkzdxOhSAls-cO3Q8FnkB9rO0zViUJvBYy8qfgT4uIlpRYDEG9pWrhQIbRWqoHws1gdIqZqw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do Vale do São Francisco – UNIVASF 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Conselho Gestor do Espaço Plural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III  - Cozinha/Refeitório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O projeto de extensão, se responsabiliza por: 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aquisição dos gêneros alimentícios  e  aluguel de utensílios necessários para o preparar e servir as  refeições dos participantes. 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preparar as refeições nos eventos  do Espaço Plural  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contratação e pagamento de cozinheiro e auxiliares de cozinha; 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Aquisição de botijões de gás.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6CC6"/>
  </w:style>
  <w:style w:type="paragraph" w:styleId="Ttulo3">
    <w:name w:val="heading 3"/>
    <w:basedOn w:val="Normal"/>
    <w:link w:val="Ttulo3Char"/>
    <w:uiPriority w:val="9"/>
    <w:qFormat w:val="1"/>
    <w:rsid w:val="006215C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9F1346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9F1346"/>
    <w:rPr>
      <w:rFonts w:ascii="Arial" w:cs="Arial" w:eastAsia="Arial" w:hAnsi="Arial"/>
      <w:sz w:val="24"/>
      <w:szCs w:val="24"/>
      <w:lang w:bidi="pt-PT" w:eastAsia="pt-PT" w:val="pt-PT"/>
    </w:rPr>
  </w:style>
  <w:style w:type="paragraph" w:styleId="Cabealho">
    <w:name w:val="header"/>
    <w:basedOn w:val="Normal"/>
    <w:link w:val="CabealhoChar"/>
    <w:unhideWhenUsed w:val="1"/>
    <w:qFormat w:val="1"/>
    <w:rsid w:val="009F134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qFormat w:val="1"/>
    <w:rsid w:val="009F134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F13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F1346"/>
    <w:rPr>
      <w:rFonts w:ascii="Tahoma" w:cs="Tahoma" w:hAnsi="Tahoma"/>
      <w:sz w:val="16"/>
      <w:szCs w:val="16"/>
    </w:rPr>
  </w:style>
  <w:style w:type="character" w:styleId="Ttulo3Char" w:customStyle="1">
    <w:name w:val="Título 3 Char"/>
    <w:basedOn w:val="Fontepargpadro"/>
    <w:link w:val="Ttulo3"/>
    <w:uiPriority w:val="9"/>
    <w:rsid w:val="006215C4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6215C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espacoplural@univasf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71Mz16EeRz0TBmc6cjSBYh2EA==">AMUW2mXlPE6sA/FehCfXYpvxQoo0jXbfIzj7E45VfTU7mwchgjIVRBoVZ7vqu1KC5pTqnwxC/pnyqx0ab5P2dRd0ou0fGDmtt34AFaax+u4pk/Qy60buZBA=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2022-05-19T17:39:00Z</dcterms:created>
  <dc:creator>Vivianni</dc:creator>
</cp:coreProperties>
</file>