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C" w:rsidRDefault="00DF6BEC" w:rsidP="00DF6BEC">
      <w:pPr>
        <w:jc w:val="center"/>
      </w:pPr>
      <w:r w:rsidRPr="008F41AC">
        <w:rPr>
          <w:noProof/>
          <w:lang w:eastAsia="pt-BR"/>
        </w:rPr>
        <w:drawing>
          <wp:inline distT="0" distB="0" distL="0" distR="0">
            <wp:extent cx="5400040" cy="1060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EC" w:rsidRDefault="00DF6BEC" w:rsidP="00DF6BEC">
      <w:pPr>
        <w:jc w:val="center"/>
      </w:pPr>
    </w:p>
    <w:p w:rsidR="00DF6BEC" w:rsidRDefault="00DF6BEC" w:rsidP="00DF6BEC">
      <w:pPr>
        <w:jc w:val="center"/>
      </w:pPr>
      <w:r>
        <w:t>EDITAL 01/2023</w:t>
      </w:r>
    </w:p>
    <w:p w:rsidR="00DF6BEC" w:rsidRDefault="00DF6BEC" w:rsidP="00DF6BEC">
      <w:pPr>
        <w:jc w:val="center"/>
      </w:pPr>
      <w:r>
        <w:t>PARA</w:t>
      </w:r>
    </w:p>
    <w:p w:rsidR="00DF6BEC" w:rsidRDefault="00DF6BEC" w:rsidP="00DF6BEC">
      <w:pPr>
        <w:jc w:val="center"/>
      </w:pPr>
      <w:r>
        <w:t>RECREDENCIAMENTO E CREDENCIAMENTO DE DOCENTES EM 2023</w:t>
      </w:r>
    </w:p>
    <w:p w:rsidR="00DF6BEC" w:rsidRDefault="00DF6BEC" w:rsidP="00DF6BEC">
      <w:pPr>
        <w:jc w:val="center"/>
      </w:pPr>
      <w:r>
        <w:t>DO</w:t>
      </w:r>
    </w:p>
    <w:p w:rsidR="00DF6BEC" w:rsidRDefault="00DF6BEC" w:rsidP="00DF6BEC">
      <w:pPr>
        <w:jc w:val="center"/>
      </w:pPr>
      <w:r>
        <w:t>CURSO DE MESTRADO PROFISSIONAL EM PROPRIEDADE INTELECTUAL E</w:t>
      </w:r>
    </w:p>
    <w:p w:rsidR="00DF6BEC" w:rsidRDefault="00DF6BEC" w:rsidP="00DF6BEC">
      <w:pPr>
        <w:jc w:val="center"/>
      </w:pPr>
      <w:r>
        <w:t>TRANSFERÊNCIA DE TECNOLOGIA PARA INOVAÇÃO – PROFNIT – PONTO FOCAL UNIVASF</w:t>
      </w:r>
    </w:p>
    <w:p w:rsidR="00DF6BEC" w:rsidRDefault="00DF6BEC"/>
    <w:p w:rsidR="00DF6BEC" w:rsidRDefault="00DF6BEC" w:rsidP="00DF6BEC">
      <w:pPr>
        <w:jc w:val="center"/>
        <w:rPr>
          <w:b/>
          <w:bCs/>
        </w:rPr>
      </w:pPr>
      <w:r w:rsidRPr="00DF6BEC">
        <w:rPr>
          <w:b/>
          <w:bCs/>
        </w:rPr>
        <w:t>RETIFICAÇÃO</w:t>
      </w:r>
    </w:p>
    <w:p w:rsidR="00DF6BEC" w:rsidRDefault="00DF6BEC" w:rsidP="00DF6BEC">
      <w:pPr>
        <w:jc w:val="center"/>
        <w:rPr>
          <w:b/>
          <w:bCs/>
        </w:rPr>
      </w:pPr>
    </w:p>
    <w:p w:rsidR="00DF6BEC" w:rsidRDefault="00DF6BEC" w:rsidP="00DF6BEC">
      <w:pPr>
        <w:jc w:val="both"/>
      </w:pPr>
      <w:r>
        <w:t xml:space="preserve">No item 7.2 </w:t>
      </w:r>
      <w:r w:rsidRPr="00DF6BEC">
        <w:t xml:space="preserve">As inscrições estarão abertas no período de 2 a 28 de maio de 2023, exclusivamente através do e-mail </w:t>
      </w:r>
      <w:proofErr w:type="gramStart"/>
      <w:r w:rsidRPr="00DF6BEC">
        <w:t>selecao.profnit@gmail.com ,</w:t>
      </w:r>
      <w:proofErr w:type="gramEnd"/>
      <w:r w:rsidRPr="00DF6BEC">
        <w:t xml:space="preserve"> com cópia para o e-mail </w:t>
      </w:r>
      <w:hyperlink r:id="rId5" w:history="1">
        <w:r w:rsidRPr="001B0CEC">
          <w:rPr>
            <w:rStyle w:val="Hyperlink"/>
          </w:rPr>
          <w:t>profnit@univasf.edu.br</w:t>
        </w:r>
      </w:hyperlink>
    </w:p>
    <w:p w:rsidR="00DF6BEC" w:rsidRDefault="00DF6BEC" w:rsidP="00DF6BEC">
      <w:pPr>
        <w:jc w:val="both"/>
      </w:pPr>
      <w:r w:rsidRPr="0093638F">
        <w:rPr>
          <w:b/>
          <w:bCs/>
        </w:rPr>
        <w:t>Lê-se:</w:t>
      </w:r>
      <w:r>
        <w:t xml:space="preserve"> 7.2 As inscrições estarão abertas em fluxo contínuo, </w:t>
      </w:r>
      <w:r w:rsidRPr="00DF6BEC">
        <w:t xml:space="preserve">exclusivamente através do e-mail </w:t>
      </w:r>
      <w:hyperlink r:id="rId6" w:history="1">
        <w:r w:rsidR="008E19E6" w:rsidRPr="009F09FC">
          <w:rPr>
            <w:rStyle w:val="Hyperlink"/>
          </w:rPr>
          <w:t>profnit@univasf.edu.br</w:t>
        </w:r>
      </w:hyperlink>
    </w:p>
    <w:p w:rsidR="00DF6BEC" w:rsidRDefault="00DF6BEC" w:rsidP="00DF6BEC">
      <w:pPr>
        <w:jc w:val="both"/>
      </w:pPr>
      <w:r>
        <w:t>No item 7.3.5 onde tem-se “</w:t>
      </w:r>
      <w:r w:rsidRPr="00DF6BEC">
        <w:t>últimos 05(cinco) anos (2019-2023)</w:t>
      </w:r>
      <w:r>
        <w:t>”</w:t>
      </w:r>
    </w:p>
    <w:p w:rsidR="00DF6BEC" w:rsidRDefault="00DF6BEC" w:rsidP="00DF6BEC">
      <w:pPr>
        <w:jc w:val="both"/>
      </w:pPr>
      <w:r w:rsidRPr="0093638F">
        <w:rPr>
          <w:b/>
          <w:bCs/>
        </w:rPr>
        <w:t>Lê-se:</w:t>
      </w:r>
      <w:r>
        <w:t xml:space="preserve"> </w:t>
      </w:r>
      <w:r w:rsidRPr="00DF6BEC">
        <w:t>últimos 05(cinco) anos (20</w:t>
      </w:r>
      <w:r>
        <w:t>20</w:t>
      </w:r>
      <w:r w:rsidRPr="00DF6BEC">
        <w:t>-202</w:t>
      </w:r>
      <w:r>
        <w:t>4</w:t>
      </w:r>
      <w:r w:rsidRPr="00DF6BEC">
        <w:t>)</w:t>
      </w:r>
    </w:p>
    <w:p w:rsidR="0093638F" w:rsidRDefault="0093638F" w:rsidP="00DF6BEC">
      <w:pPr>
        <w:jc w:val="both"/>
      </w:pPr>
      <w:r>
        <w:t>No item 11. Cronograma, onde tem-se:</w:t>
      </w:r>
    </w:p>
    <w:tbl>
      <w:tblPr>
        <w:tblStyle w:val="Tabelacomgrade"/>
        <w:tblW w:w="8642" w:type="dxa"/>
        <w:tblLook w:val="04A0"/>
      </w:tblPr>
      <w:tblGrid>
        <w:gridCol w:w="5382"/>
        <w:gridCol w:w="3260"/>
      </w:tblGrid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Publicação do Edital </w:t>
            </w:r>
          </w:p>
        </w:tc>
        <w:tc>
          <w:tcPr>
            <w:tcW w:w="3260" w:type="dxa"/>
          </w:tcPr>
          <w:p w:rsidR="0093638F" w:rsidRPr="0093638F" w:rsidRDefault="0093638F" w:rsidP="0093638F">
            <w:pPr>
              <w:pStyle w:val="Default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28 de abril de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Período das Inscrições </w:t>
            </w:r>
          </w:p>
        </w:tc>
        <w:tc>
          <w:tcPr>
            <w:tcW w:w="3260" w:type="dxa"/>
          </w:tcPr>
          <w:p w:rsidR="0093638F" w:rsidRPr="0093638F" w:rsidRDefault="0093638F" w:rsidP="0093638F">
            <w:pPr>
              <w:pStyle w:val="Default"/>
            </w:pPr>
            <w:r>
              <w:rPr>
                <w:sz w:val="22"/>
                <w:szCs w:val="22"/>
              </w:rPr>
              <w:t xml:space="preserve">02 a 28 de maio de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Homologação das Inscrições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Até 31 de maio de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Período de Avaliação das Solicitações de Credenciamento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01 a 03 de junho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Divulgação Parcial dos Resultados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05 de junho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Período de recurso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06 de junho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Resultado do recurso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07 de junho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 xml:space="preserve">Divulgação do Resultado Final </w:t>
            </w:r>
          </w:p>
        </w:tc>
        <w:tc>
          <w:tcPr>
            <w:tcW w:w="3260" w:type="dxa"/>
          </w:tcPr>
          <w:p w:rsidR="0093638F" w:rsidRPr="0093638F" w:rsidRDefault="0093638F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09 de junho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>Homologação do Resultado na CAI</w:t>
            </w:r>
          </w:p>
        </w:tc>
        <w:tc>
          <w:tcPr>
            <w:tcW w:w="3260" w:type="dxa"/>
          </w:tcPr>
          <w:p w:rsidR="0093638F" w:rsidRPr="0093638F" w:rsidRDefault="005317C4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15 de junho de 2023 </w:t>
            </w:r>
          </w:p>
        </w:tc>
      </w:tr>
      <w:tr w:rsidR="0093638F" w:rsidTr="0093638F">
        <w:tc>
          <w:tcPr>
            <w:tcW w:w="5382" w:type="dxa"/>
          </w:tcPr>
          <w:p w:rsidR="0093638F" w:rsidRDefault="0093638F" w:rsidP="006D2CC1">
            <w:r>
              <w:t>Envio para solicitação de homologação pela CAN</w:t>
            </w:r>
          </w:p>
        </w:tc>
        <w:tc>
          <w:tcPr>
            <w:tcW w:w="3260" w:type="dxa"/>
          </w:tcPr>
          <w:p w:rsidR="0093638F" w:rsidRPr="0093638F" w:rsidRDefault="005317C4" w:rsidP="005317C4">
            <w:pPr>
              <w:pStyle w:val="Default"/>
            </w:pPr>
            <w:r>
              <w:rPr>
                <w:sz w:val="22"/>
                <w:szCs w:val="22"/>
              </w:rPr>
              <w:t xml:space="preserve">16 de junho de 2023 </w:t>
            </w:r>
          </w:p>
        </w:tc>
      </w:tr>
    </w:tbl>
    <w:p w:rsidR="005317C4" w:rsidRDefault="005317C4" w:rsidP="00DF6BEC">
      <w:pPr>
        <w:jc w:val="both"/>
      </w:pPr>
    </w:p>
    <w:p w:rsidR="005317C4" w:rsidRDefault="005317C4" w:rsidP="00DF6BEC">
      <w:pPr>
        <w:jc w:val="both"/>
        <w:rPr>
          <w:b/>
          <w:bCs/>
        </w:rPr>
      </w:pPr>
    </w:p>
    <w:p w:rsidR="005317C4" w:rsidRDefault="005317C4" w:rsidP="00DF6BEC">
      <w:pPr>
        <w:jc w:val="both"/>
        <w:rPr>
          <w:b/>
          <w:bCs/>
        </w:rPr>
      </w:pPr>
    </w:p>
    <w:p w:rsidR="005317C4" w:rsidRDefault="005317C4" w:rsidP="00DF6BEC">
      <w:pPr>
        <w:jc w:val="both"/>
        <w:rPr>
          <w:b/>
          <w:bCs/>
        </w:rPr>
      </w:pPr>
    </w:p>
    <w:p w:rsidR="005317C4" w:rsidRPr="005317C4" w:rsidRDefault="005317C4" w:rsidP="00DF6BEC">
      <w:pPr>
        <w:jc w:val="both"/>
        <w:rPr>
          <w:b/>
          <w:bCs/>
        </w:rPr>
      </w:pPr>
      <w:r w:rsidRPr="005317C4">
        <w:rPr>
          <w:b/>
          <w:bCs/>
        </w:rPr>
        <w:lastRenderedPageBreak/>
        <w:t>Lê-se</w:t>
      </w:r>
      <w:r>
        <w:rPr>
          <w:b/>
          <w:bCs/>
        </w:rPr>
        <w:t>:</w:t>
      </w:r>
    </w:p>
    <w:tbl>
      <w:tblPr>
        <w:tblStyle w:val="Tabelacomgrade"/>
        <w:tblW w:w="8642" w:type="dxa"/>
        <w:tblLook w:val="04A0"/>
      </w:tblPr>
      <w:tblGrid>
        <w:gridCol w:w="5382"/>
        <w:gridCol w:w="3260"/>
      </w:tblGrid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Publicação do Edital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01</w:t>
            </w:r>
            <w:r w:rsidRPr="0093638F">
              <w:t xml:space="preserve"> de </w:t>
            </w:r>
            <w:r>
              <w:t>março</w:t>
            </w:r>
            <w:r w:rsidRPr="0093638F">
              <w:t xml:space="preserve"> de 202</w:t>
            </w:r>
            <w:r>
              <w:t>4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Período das Inscrições </w:t>
            </w:r>
          </w:p>
        </w:tc>
        <w:tc>
          <w:tcPr>
            <w:tcW w:w="3260" w:type="dxa"/>
          </w:tcPr>
          <w:p w:rsidR="005317C4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Homologação das Inscrições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Período de Avaliação das Solicitações de Credenciamento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  <w:r w:rsidRPr="0093638F">
              <w:t xml:space="preserve"> 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Divulgação Parcial dos Resultados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Período de recurso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Resultado do recurso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 xml:space="preserve">Divulgação do Resultado Final </w:t>
            </w:r>
          </w:p>
        </w:tc>
        <w:tc>
          <w:tcPr>
            <w:tcW w:w="3260" w:type="dxa"/>
          </w:tcPr>
          <w:p w:rsidR="005317C4" w:rsidRPr="0093638F" w:rsidRDefault="005317C4" w:rsidP="005317C4">
            <w:r>
              <w:t>Fluxo contínuo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>Homologação do Resultado na CAI</w:t>
            </w:r>
          </w:p>
        </w:tc>
        <w:tc>
          <w:tcPr>
            <w:tcW w:w="3260" w:type="dxa"/>
          </w:tcPr>
          <w:p w:rsidR="005317C4" w:rsidRPr="0093638F" w:rsidRDefault="005317C4" w:rsidP="005317C4">
            <w:r w:rsidRPr="00E40343">
              <w:t xml:space="preserve">Fluxo contínuo </w:t>
            </w:r>
          </w:p>
        </w:tc>
      </w:tr>
      <w:tr w:rsidR="005317C4" w:rsidTr="006D2CC1">
        <w:tc>
          <w:tcPr>
            <w:tcW w:w="5382" w:type="dxa"/>
          </w:tcPr>
          <w:p w:rsidR="005317C4" w:rsidRDefault="005317C4" w:rsidP="005317C4">
            <w:r>
              <w:t>Envio para solicitação de homologação pela CAN</w:t>
            </w:r>
          </w:p>
        </w:tc>
        <w:tc>
          <w:tcPr>
            <w:tcW w:w="3260" w:type="dxa"/>
          </w:tcPr>
          <w:p w:rsidR="005317C4" w:rsidRPr="0093638F" w:rsidRDefault="005317C4" w:rsidP="005317C4">
            <w:r w:rsidRPr="00E40343">
              <w:t xml:space="preserve">Fluxo contínuo </w:t>
            </w:r>
          </w:p>
        </w:tc>
      </w:tr>
    </w:tbl>
    <w:p w:rsidR="005317C4" w:rsidRPr="00DF6BEC" w:rsidRDefault="005317C4" w:rsidP="005317C4">
      <w:pPr>
        <w:jc w:val="both"/>
      </w:pPr>
    </w:p>
    <w:p w:rsidR="005317C4" w:rsidRDefault="008E19E6" w:rsidP="00DF6BEC">
      <w:pPr>
        <w:jc w:val="both"/>
      </w:pPr>
      <w:r>
        <w:t>Juazeiro, 29 de fevereiro de 2024.</w:t>
      </w:r>
    </w:p>
    <w:p w:rsidR="008E19E6" w:rsidRDefault="008E19E6" w:rsidP="00DF6BEC">
      <w:pPr>
        <w:jc w:val="both"/>
      </w:pPr>
    </w:p>
    <w:p w:rsidR="008E19E6" w:rsidRDefault="008E19E6" w:rsidP="00DF6BEC">
      <w:pPr>
        <w:jc w:val="both"/>
      </w:pPr>
    </w:p>
    <w:p w:rsidR="008E19E6" w:rsidRDefault="008E19E6" w:rsidP="00DF6BEC">
      <w:pPr>
        <w:jc w:val="both"/>
      </w:pPr>
    </w:p>
    <w:p w:rsidR="008E19E6" w:rsidRDefault="008E19E6" w:rsidP="00DF6BEC">
      <w:pPr>
        <w:jc w:val="both"/>
      </w:pPr>
    </w:p>
    <w:p w:rsidR="008E19E6" w:rsidRDefault="008E19E6" w:rsidP="008E19E6">
      <w:pPr>
        <w:jc w:val="center"/>
      </w:pPr>
      <w:r>
        <w:t>____________________________________________</w:t>
      </w:r>
    </w:p>
    <w:p w:rsidR="008E19E6" w:rsidRDefault="008E19E6" w:rsidP="008E19E6">
      <w:pPr>
        <w:jc w:val="center"/>
      </w:pPr>
      <w:r>
        <w:t>Profa. Dra. Cristiane Xavier Galhardo</w:t>
      </w:r>
    </w:p>
    <w:p w:rsidR="008E19E6" w:rsidRDefault="008E19E6" w:rsidP="008E19E6">
      <w:pPr>
        <w:jc w:val="center"/>
      </w:pPr>
      <w:r>
        <w:t>Coordenadora do Profnit-UNIVASF</w:t>
      </w:r>
    </w:p>
    <w:p w:rsidR="008E19E6" w:rsidRPr="00DF6BEC" w:rsidRDefault="008E19E6" w:rsidP="00DF6BEC">
      <w:pPr>
        <w:jc w:val="both"/>
      </w:pPr>
    </w:p>
    <w:sectPr w:rsidR="008E19E6" w:rsidRPr="00DF6BEC" w:rsidSect="00873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6BEC"/>
    <w:rsid w:val="00052C56"/>
    <w:rsid w:val="005317C4"/>
    <w:rsid w:val="00873CE4"/>
    <w:rsid w:val="008E19E6"/>
    <w:rsid w:val="0093638F"/>
    <w:rsid w:val="00D954EC"/>
    <w:rsid w:val="00D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6B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B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3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6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nit@univasf.edu.br" TargetMode="External"/><Relationship Id="rId5" Type="http://schemas.openxmlformats.org/officeDocument/2006/relationships/hyperlink" Target="mailto:profnit@univasf.edu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client</dc:creator>
  <cp:lastModifiedBy>Univasf</cp:lastModifiedBy>
  <cp:revision>2</cp:revision>
  <dcterms:created xsi:type="dcterms:W3CDTF">2024-03-04T17:32:00Z</dcterms:created>
  <dcterms:modified xsi:type="dcterms:W3CDTF">2024-03-04T17:32:00Z</dcterms:modified>
</cp:coreProperties>
</file>