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15"/>
        <w:ind w:left="701" w:right="753" w:firstLine="0"/>
        <w:jc w:val="center"/>
      </w:pPr>
      <w:r>
        <w:t>ANEXO III - Formulário de verificação de habilidades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color w:val="000000"/>
          <w:sz w:val="16"/>
          <w:szCs w:val="16"/>
        </w:rPr>
      </w:pPr>
    </w:p>
    <w:tbl>
      <w:tblPr>
        <w:tblStyle w:val="20"/>
        <w:tblW w:w="9640" w:type="dxa"/>
        <w:tblInd w:w="14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0"/>
        <w:gridCol w:w="1680"/>
        <w:gridCol w:w="162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64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1"/>
              <w:ind w:left="10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 do servidor: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64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6"/>
              <w:ind w:left="10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Chefia imediata: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964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1"/>
              <w:ind w:left="10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Setor: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64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96"/>
              <w:ind w:left="104"/>
              <w:rPr>
                <w:b/>
                <w:color w:val="000000"/>
              </w:rPr>
            </w:pPr>
            <w:r>
              <w:rPr>
                <w:rFonts w:hint="default"/>
                <w:b/>
                <w:color w:val="000000"/>
                <w:lang w:val="pt-BR"/>
              </w:rPr>
              <w:t>Regime de execução</w:t>
            </w:r>
            <w:r>
              <w:rPr>
                <w:b/>
                <w:color w:val="000000"/>
              </w:rPr>
              <w:t>: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634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5"/>
              <w:rPr>
                <w:b/>
                <w:color w:val="000000"/>
                <w:sz w:val="29"/>
                <w:szCs w:val="29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2608" w:right="259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Habilidades</w:t>
            </w:r>
          </w:p>
        </w:tc>
        <w:tc>
          <w:tcPr>
            <w:tcW w:w="330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1"/>
              <w:ind w:left="93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Marcar com (X)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634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6"/>
              <w:ind w:left="35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Habilitado</w:t>
            </w:r>
          </w:p>
        </w:tc>
        <w:tc>
          <w:tcPr>
            <w:tcW w:w="1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6"/>
              <w:ind w:left="12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Não habilitado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63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1"/>
              <w:ind w:left="104"/>
              <w:rPr>
                <w:color w:val="000000"/>
              </w:rPr>
            </w:pPr>
            <w:r>
              <w:rPr>
                <w:color w:val="000000"/>
              </w:rPr>
              <w:t>Conhecimento técnico</w:t>
            </w: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63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96"/>
              <w:ind w:left="104"/>
              <w:rPr>
                <w:color w:val="000000"/>
              </w:rPr>
            </w:pPr>
            <w:r>
              <w:rPr>
                <w:color w:val="000000"/>
              </w:rPr>
              <w:t>Capacidade de organização e autodisciplina</w:t>
            </w: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63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1"/>
              <w:ind w:left="104"/>
              <w:rPr>
                <w:color w:val="000000"/>
              </w:rPr>
            </w:pPr>
            <w:r>
              <w:rPr>
                <w:color w:val="000000"/>
              </w:rPr>
              <w:t>Capacidade de cumprimento das atividades nos prazos acordados</w:t>
            </w: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63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6"/>
              <w:ind w:left="104"/>
              <w:rPr>
                <w:color w:val="000000"/>
              </w:rPr>
            </w:pPr>
            <w:r>
              <w:rPr>
                <w:color w:val="000000"/>
              </w:rPr>
              <w:t>Capacidade de interação com a equipe</w:t>
            </w: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63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1"/>
              <w:ind w:left="104"/>
              <w:rPr>
                <w:color w:val="000000"/>
              </w:rPr>
            </w:pPr>
            <w:r>
              <w:rPr>
                <w:color w:val="000000"/>
              </w:rPr>
              <w:t>Atuação tempestiva</w:t>
            </w: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96"/>
              <w:ind w:left="104"/>
              <w:rPr>
                <w:color w:val="000000"/>
              </w:rPr>
            </w:pPr>
            <w:r>
              <w:rPr>
                <w:color w:val="000000"/>
              </w:rPr>
              <w:t>Proatividade na resolução de problemas</w:t>
            </w: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63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1"/>
              <w:ind w:left="104"/>
              <w:rPr>
                <w:color w:val="000000"/>
              </w:rPr>
            </w:pPr>
            <w:r>
              <w:rPr>
                <w:color w:val="000000"/>
              </w:rPr>
              <w:t>Abertura para utilização de novas tecnologias</w:t>
            </w: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63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6"/>
              <w:ind w:left="104"/>
              <w:rPr>
                <w:color w:val="000000"/>
              </w:rPr>
            </w:pPr>
            <w:r>
              <w:rPr>
                <w:color w:val="000000"/>
              </w:rPr>
              <w:t>Orientação para resultados</w:t>
            </w: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63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1"/>
              <w:ind w:left="104"/>
              <w:rPr>
                <w:color w:val="000000"/>
              </w:rPr>
            </w:pPr>
            <w:r>
              <w:rPr>
                <w:color w:val="000000"/>
              </w:rPr>
              <w:t>Capacidade colaborativa</w:t>
            </w: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64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96"/>
              <w:ind w:left="3732" w:right="37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Observações (opcional)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964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9" w:hRule="atLeast"/>
        </w:trPr>
        <w:tc>
          <w:tcPr>
            <w:tcW w:w="964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96"/>
              <w:ind w:left="104"/>
              <w:rPr>
                <w:color w:val="000000"/>
              </w:rPr>
            </w:pPr>
            <w:r>
              <w:rPr>
                <w:color w:val="000000"/>
              </w:rPr>
              <w:t xml:space="preserve">Assinatura da </w:t>
            </w:r>
            <w:r>
              <w:rPr>
                <w:rFonts w:hint="default"/>
                <w:color w:val="000000"/>
                <w:lang w:val="pt-BR"/>
              </w:rPr>
              <w:t>c</w:t>
            </w:r>
            <w:bookmarkStart w:id="0" w:name="_GoBack"/>
            <w:bookmarkEnd w:id="0"/>
            <w:r>
              <w:rPr>
                <w:color w:val="000000"/>
              </w:rPr>
              <w:t>hefia imediata</w:t>
            </w:r>
          </w:p>
        </w:tc>
      </w:tr>
    </w:tbl>
    <w:p/>
    <w:sectPr>
      <w:headerReference r:id="rId3" w:type="default"/>
      <w:footerReference r:id="rId4" w:type="default"/>
      <w:pgSz w:w="11920" w:h="16840"/>
      <w:pgMar w:top="1860" w:right="960" w:bottom="280" w:left="1000" w:header="40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rPr>
        <w:color w:val="000000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rPr>
        <w:color w:val="000000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rPr>
        <w:color w:val="000000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14" w:lineRule="auto"/>
      <w:rPr>
        <w:color w:val="000000"/>
        <w:sz w:val="20"/>
        <w:szCs w:val="20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jc w:val="center"/>
      <w:rPr>
        <w:b/>
        <w:color w:val="000000"/>
      </w:rPr>
    </w:pPr>
    <w:r>
      <w:rPr>
        <w:color w:val="000000"/>
      </w:rPr>
      <w:drawing>
        <wp:inline distT="0" distB="0" distL="114300" distR="114300">
          <wp:extent cx="628650" cy="62865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jc w:val="center"/>
      <w:rPr>
        <w:rFonts w:ascii="Tahoma" w:hAnsi="Tahoma" w:eastAsia="Tahoma" w:cs="Tahoma"/>
        <w:b/>
        <w:color w:val="000000"/>
      </w:rPr>
    </w:pPr>
    <w:r>
      <w:rPr>
        <w:rFonts w:ascii="Tahoma" w:hAnsi="Tahoma" w:eastAsia="Tahoma" w:cs="Tahoma"/>
        <w:b/>
        <w:color w:val="000000"/>
      </w:rPr>
      <w:t>MINISTÉRIO DA EDUCAÇÃO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jc w:val="center"/>
      <w:rPr>
        <w:rFonts w:ascii="Tahoma" w:hAnsi="Tahoma" w:eastAsia="Tahoma" w:cs="Tahoma"/>
        <w:b/>
        <w:color w:val="000000"/>
      </w:rPr>
    </w:pPr>
    <w:r>
      <w:rPr>
        <w:rFonts w:ascii="Tahoma" w:hAnsi="Tahoma" w:eastAsia="Tahoma" w:cs="Tahoma"/>
        <w:b/>
        <w:color w:val="000000"/>
      </w:rPr>
      <w:t>UNIVERSIDADE FEDERAL DO VALE DO SÃO FRANCISCO - UNIVASF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jc w:val="center"/>
      <w:rPr>
        <w:rFonts w:ascii="Tahoma" w:hAnsi="Tahoma" w:eastAsia="Tahoma" w:cs="Tahoma"/>
        <w:color w:val="000000"/>
        <w:sz w:val="16"/>
        <w:szCs w:val="16"/>
      </w:rPr>
    </w:pPr>
    <w:r>
      <w:rPr>
        <w:rFonts w:ascii="Tahoma" w:hAnsi="Tahoma" w:eastAsia="Tahoma" w:cs="Tahoma"/>
        <w:color w:val="000000"/>
        <w:sz w:val="16"/>
        <w:szCs w:val="16"/>
      </w:rPr>
      <w:t>Avenida José de Sá Maniçoba, s/n, Centro, Campus Universitário, Petrolina-PE CEP 56304-205.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jc w:val="center"/>
    </w:pPr>
    <w:r>
      <w:rPr>
        <w:rFonts w:ascii="Tahoma" w:hAnsi="Tahoma" w:eastAsia="Tahoma" w:cs="Tahoma"/>
        <w:color w:val="000000"/>
        <w:sz w:val="16"/>
        <w:szCs w:val="16"/>
      </w:rPr>
      <w:t xml:space="preserve">Tel.: (87) 2101-6834 - </w:t>
    </w:r>
    <w:r>
      <w:rPr>
        <w:rFonts w:ascii="Tahoma" w:hAnsi="Tahoma" w:eastAsia="Tahoma" w:cs="Tahoma"/>
        <w:i/>
        <w:color w:val="000000"/>
        <w:sz w:val="16"/>
        <w:szCs w:val="16"/>
      </w:rPr>
      <w:t>home page</w:t>
    </w:r>
    <w:r>
      <w:rPr>
        <w:rFonts w:ascii="Tahoma" w:hAnsi="Tahoma" w:eastAsia="Tahoma" w:cs="Tahoma"/>
        <w:color w:val="000000"/>
        <w:sz w:val="16"/>
        <w:szCs w:val="16"/>
      </w:rPr>
      <w:t>: www.univasf.edu.br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D4"/>
    <w:rsid w:val="00147977"/>
    <w:rsid w:val="001A2A82"/>
    <w:rsid w:val="002904C8"/>
    <w:rsid w:val="002B3F7C"/>
    <w:rsid w:val="003228D1"/>
    <w:rsid w:val="00333EB1"/>
    <w:rsid w:val="003477CD"/>
    <w:rsid w:val="003B34D0"/>
    <w:rsid w:val="005E4283"/>
    <w:rsid w:val="009D0674"/>
    <w:rsid w:val="00A2711F"/>
    <w:rsid w:val="00AE24E5"/>
    <w:rsid w:val="00B31776"/>
    <w:rsid w:val="00B753B8"/>
    <w:rsid w:val="00C65EFD"/>
    <w:rsid w:val="00CC075B"/>
    <w:rsid w:val="00CE2091"/>
    <w:rsid w:val="00CE2D0C"/>
    <w:rsid w:val="00D0317A"/>
    <w:rsid w:val="00D1013C"/>
    <w:rsid w:val="00D217F1"/>
    <w:rsid w:val="00D81BEB"/>
    <w:rsid w:val="00D85A0A"/>
    <w:rsid w:val="00EF7FD4"/>
    <w:rsid w:val="00F35D23"/>
    <w:rsid w:val="00F539A7"/>
    <w:rsid w:val="0D451621"/>
    <w:rsid w:val="1DF72658"/>
    <w:rsid w:val="2C921F38"/>
    <w:rsid w:val="3EC370DB"/>
    <w:rsid w:val="656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9"/>
    <w:pPr>
      <w:ind w:left="374" w:hanging="241"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Body Text"/>
    <w:basedOn w:val="1"/>
    <w:qFormat/>
    <w:uiPriority w:val="1"/>
    <w:rPr>
      <w:sz w:val="24"/>
      <w:szCs w:val="24"/>
    </w:rPr>
  </w:style>
  <w:style w:type="paragraph" w:styleId="12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3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4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5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7">
    <w:name w:val="List Paragraph"/>
    <w:basedOn w:val="1"/>
    <w:qFormat/>
    <w:uiPriority w:val="1"/>
    <w:pPr>
      <w:ind w:left="133"/>
    </w:pPr>
  </w:style>
  <w:style w:type="paragraph" w:customStyle="1" w:styleId="18">
    <w:name w:val="Table Paragraph"/>
    <w:basedOn w:val="1"/>
    <w:qFormat/>
    <w:uiPriority w:val="1"/>
    <w:pPr>
      <w:ind w:left="104"/>
    </w:pPr>
  </w:style>
  <w:style w:type="table" w:customStyle="1" w:styleId="19">
    <w:name w:val="_Style 18"/>
    <w:basedOn w:val="16"/>
    <w:qFormat/>
    <w:uiPriority w:val="0"/>
  </w:style>
  <w:style w:type="table" w:customStyle="1" w:styleId="20">
    <w:name w:val="_Style 19"/>
    <w:basedOn w:val="16"/>
    <w:qFormat/>
    <w:uiPriority w:val="0"/>
  </w:style>
  <w:style w:type="table" w:customStyle="1" w:styleId="21">
    <w:name w:val="_Style 20"/>
    <w:basedOn w:val="16"/>
    <w:uiPriority w:val="0"/>
  </w:style>
  <w:style w:type="character" w:customStyle="1" w:styleId="22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tTSsx6mWYdsu0ybBqjudF7YvHw==">AMUW2mU6RLjYKTFtJ7HRbGwy3oI9ZvQn1immso444POPR2B4JFF5TZ1XdR9B3t214KFYog5Hyyal6asj4O5z4rvA7AOQcZLf43nZvxhEKThcegjENWWKQr9oYbSAnPkuNLRADH0E9UdX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1662</Words>
  <Characters>8977</Characters>
  <Lines>74</Lines>
  <Paragraphs>21</Paragraphs>
  <TotalTime>1</TotalTime>
  <ScaleCrop>false</ScaleCrop>
  <LinksUpToDate>false</LinksUpToDate>
  <CharactersWithSpaces>10618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2022-10-18T19:58:00Z</dcterms:created>
  <dc:creator>UNIVASF</dc:creator>
  <cp:lastModifiedBy>UNIVASF</cp:lastModifiedBy>
  <dcterms:modified xsi:type="dcterms:W3CDTF">2022-10-20T18:28:20Z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2022-09-01T00:00:00Z</vt:filetime>
  </property>
  <property fmtid="{D5CDD505-2E9C-101B-9397-08002B2CF9AE}" pid="3" name="KSOProductBuildVer">
    <vt:lpwstr>1046-11.2.0.11341</vt:lpwstr>
  </property>
  <property fmtid="{D5CDD505-2E9C-101B-9397-08002B2CF9AE}" pid="4" name="ICV">
    <vt:lpwstr>70139274B0AC48649A028A3A31505514</vt:lpwstr>
  </property>
</Properties>
</file>