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E9" w:rsidRPr="002A4FE9" w:rsidRDefault="002A4FE9" w:rsidP="002A4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FE9" w:rsidRPr="00650FA1" w:rsidRDefault="0090168E" w:rsidP="002A4FE9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650FA1">
        <w:rPr>
          <w:rFonts w:cstheme="minorHAnsi"/>
          <w:b/>
          <w:sz w:val="28"/>
          <w:szCs w:val="24"/>
        </w:rPr>
        <w:t xml:space="preserve">Modelos </w:t>
      </w:r>
      <w:r w:rsidR="002A4FE9" w:rsidRPr="00650FA1">
        <w:rPr>
          <w:rFonts w:cstheme="minorHAnsi"/>
          <w:b/>
          <w:sz w:val="28"/>
          <w:szCs w:val="24"/>
        </w:rPr>
        <w:t xml:space="preserve">de etiquetas </w:t>
      </w:r>
      <w:bookmarkStart w:id="0" w:name="_GoBack"/>
      <w:bookmarkEnd w:id="0"/>
      <w:r w:rsidR="002A4FE9" w:rsidRPr="00650FA1">
        <w:rPr>
          <w:rFonts w:cstheme="minorHAnsi"/>
          <w:b/>
          <w:sz w:val="28"/>
          <w:szCs w:val="24"/>
        </w:rPr>
        <w:t xml:space="preserve">a serem utilizadas em embalagens de </w:t>
      </w:r>
      <w:r w:rsidR="00016324">
        <w:rPr>
          <w:rFonts w:cstheme="minorHAnsi"/>
          <w:b/>
          <w:sz w:val="28"/>
          <w:szCs w:val="24"/>
        </w:rPr>
        <w:t>REMESSAS</w:t>
      </w:r>
      <w:r w:rsidR="002A4FE9" w:rsidRPr="00650FA1">
        <w:rPr>
          <w:rFonts w:cstheme="minorHAnsi"/>
          <w:b/>
          <w:sz w:val="28"/>
          <w:szCs w:val="24"/>
        </w:rPr>
        <w:t xml:space="preserve"> ou </w:t>
      </w:r>
      <w:r w:rsidR="00016324">
        <w:rPr>
          <w:rFonts w:cstheme="minorHAnsi"/>
          <w:b/>
          <w:sz w:val="28"/>
          <w:szCs w:val="24"/>
        </w:rPr>
        <w:t>ENVIOS</w:t>
      </w:r>
    </w:p>
    <w:p w:rsidR="002A4FE9" w:rsidRPr="00650FA1" w:rsidRDefault="002A4FE9" w:rsidP="002A4FE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A4FE9" w:rsidRPr="00650FA1" w:rsidRDefault="002A4FE9" w:rsidP="00650FA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50FA1">
        <w:rPr>
          <w:rFonts w:cstheme="minorHAnsi"/>
          <w:b/>
          <w:sz w:val="24"/>
          <w:szCs w:val="24"/>
        </w:rPr>
        <w:t xml:space="preserve">Modelo 01. </w:t>
      </w:r>
      <w:r w:rsidRPr="00650FA1">
        <w:rPr>
          <w:rFonts w:cstheme="minorHAnsi"/>
          <w:sz w:val="24"/>
          <w:szCs w:val="24"/>
        </w:rPr>
        <w:t xml:space="preserve">Etiqueta de advertência a ser afixada no exterior da embalagem contendo amostra de componente do patrimônio genético e cujo envio/remessa foi devidamente registrado no </w:t>
      </w:r>
      <w:proofErr w:type="spellStart"/>
      <w:proofErr w:type="gramStart"/>
      <w:r w:rsidRPr="00650FA1">
        <w:rPr>
          <w:rFonts w:cstheme="minorHAnsi"/>
          <w:sz w:val="24"/>
          <w:szCs w:val="24"/>
        </w:rPr>
        <w:t>SISGen</w:t>
      </w:r>
      <w:proofErr w:type="spellEnd"/>
      <w:proofErr w:type="gramEnd"/>
      <w:r w:rsidRPr="00650FA1">
        <w:rPr>
          <w:rFonts w:cstheme="minorHAnsi"/>
          <w:sz w:val="24"/>
          <w:szCs w:val="24"/>
        </w:rPr>
        <w:t xml:space="preserve">. </w:t>
      </w:r>
      <w:r w:rsidR="00650FA1" w:rsidRPr="00650FA1">
        <w:rPr>
          <w:rFonts w:cstheme="minorHAnsi"/>
          <w:sz w:val="24"/>
          <w:szCs w:val="24"/>
        </w:rPr>
        <w:t>Quando pertinente, será acompanhada de etiqueta na versão inglesa, espanhola ou francesa.</w:t>
      </w:r>
    </w:p>
    <w:p w:rsidR="002A4FE9" w:rsidRPr="002A4FE9" w:rsidRDefault="002A4FE9" w:rsidP="002A4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490" w:type="dxa"/>
        <w:tblInd w:w="-459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ook w:val="04A0" w:firstRow="1" w:lastRow="0" w:firstColumn="1" w:lastColumn="0" w:noHBand="0" w:noVBand="1"/>
      </w:tblPr>
      <w:tblGrid>
        <w:gridCol w:w="5273"/>
        <w:gridCol w:w="5217"/>
      </w:tblGrid>
      <w:tr w:rsidR="006B12F6" w:rsidTr="00650FA1">
        <w:tc>
          <w:tcPr>
            <w:tcW w:w="5273" w:type="dxa"/>
            <w:vAlign w:val="center"/>
          </w:tcPr>
          <w:p w:rsidR="006B12F6" w:rsidRPr="00650FA1" w:rsidRDefault="006B12F6" w:rsidP="006B12F6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650FA1">
              <w:rPr>
                <w:rFonts w:cstheme="minorHAnsi"/>
                <w:b/>
                <w:color w:val="FF0000"/>
                <w:sz w:val="28"/>
                <w:szCs w:val="28"/>
              </w:rPr>
              <w:t>ATENÇÃO!</w:t>
            </w:r>
          </w:p>
          <w:p w:rsidR="006B12F6" w:rsidRPr="00650FA1" w:rsidRDefault="006B12F6" w:rsidP="006B12F6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650FA1">
              <w:rPr>
                <w:rFonts w:cstheme="minorHAnsi"/>
                <w:sz w:val="28"/>
                <w:szCs w:val="28"/>
              </w:rPr>
              <w:t>Amostra de patrimônio genético do Brasil</w:t>
            </w:r>
          </w:p>
          <w:p w:rsidR="006B12F6" w:rsidRPr="00650FA1" w:rsidRDefault="006B12F6" w:rsidP="006B12F6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650FA1">
              <w:rPr>
                <w:rFonts w:cstheme="minorHAnsi"/>
                <w:sz w:val="28"/>
                <w:szCs w:val="28"/>
              </w:rPr>
              <w:t>CONTÉM MATERIAL BIOLÓGICO SEM VALOR COMERCIAL</w:t>
            </w:r>
          </w:p>
          <w:p w:rsidR="006B12F6" w:rsidRPr="0032664D" w:rsidRDefault="006B12F6" w:rsidP="006B12F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2664D">
              <w:rPr>
                <w:rFonts w:cstheme="minorHAnsi"/>
                <w:sz w:val="24"/>
                <w:szCs w:val="24"/>
              </w:rPr>
              <w:t>Remessa realizada de acordo com a Lei 13</w:t>
            </w:r>
            <w:r w:rsidR="00650FA1" w:rsidRPr="0032664D">
              <w:rPr>
                <w:rFonts w:cstheme="minorHAnsi"/>
                <w:sz w:val="24"/>
                <w:szCs w:val="24"/>
              </w:rPr>
              <w:t>.</w:t>
            </w:r>
            <w:r w:rsidRPr="0032664D">
              <w:rPr>
                <w:rFonts w:cstheme="minorHAnsi"/>
                <w:sz w:val="24"/>
                <w:szCs w:val="24"/>
              </w:rPr>
              <w:t>123/2015 e Decreto 8772/2016 e normas do Conselho de Gestão do Patrimônio Genético (CGEN)</w:t>
            </w:r>
          </w:p>
          <w:p w:rsidR="006B12F6" w:rsidRPr="0032664D" w:rsidRDefault="006B12F6" w:rsidP="006B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4D">
              <w:rPr>
                <w:rFonts w:cstheme="minorHAnsi"/>
                <w:sz w:val="24"/>
                <w:szCs w:val="24"/>
              </w:rPr>
              <w:t>http://www.mma.gov.br/patrimonio-genetico</w:t>
            </w:r>
          </w:p>
        </w:tc>
        <w:tc>
          <w:tcPr>
            <w:tcW w:w="5217" w:type="dxa"/>
            <w:vAlign w:val="center"/>
          </w:tcPr>
          <w:p w:rsidR="006B12F6" w:rsidRPr="00650FA1" w:rsidRDefault="00650FA1" w:rsidP="00650FA1">
            <w:pPr>
              <w:spacing w:after="0" w:line="240" w:lineRule="auto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 xml:space="preserve">                         </w:t>
            </w:r>
            <w:r w:rsidR="006B12F6" w:rsidRPr="00650FA1">
              <w:rPr>
                <w:rFonts w:cstheme="minorHAnsi"/>
                <w:b/>
                <w:color w:val="FF0000"/>
                <w:sz w:val="28"/>
                <w:szCs w:val="28"/>
              </w:rPr>
              <w:t>ATTENTION!</w:t>
            </w:r>
          </w:p>
          <w:p w:rsidR="006B12F6" w:rsidRPr="00650FA1" w:rsidRDefault="006B12F6" w:rsidP="006B12F6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650FA1">
              <w:rPr>
                <w:rFonts w:cstheme="minorHAnsi"/>
                <w:sz w:val="28"/>
                <w:szCs w:val="28"/>
              </w:rPr>
              <w:t>Sample</w:t>
            </w:r>
            <w:proofErr w:type="spellEnd"/>
            <w:r w:rsidRPr="00650FA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650FA1">
              <w:rPr>
                <w:rFonts w:cstheme="minorHAnsi"/>
                <w:sz w:val="28"/>
                <w:szCs w:val="28"/>
              </w:rPr>
              <w:t>of</w:t>
            </w:r>
            <w:proofErr w:type="spellEnd"/>
            <w:r w:rsidRPr="00650FA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650FA1">
              <w:rPr>
                <w:rFonts w:cstheme="minorHAnsi"/>
                <w:sz w:val="28"/>
                <w:szCs w:val="28"/>
              </w:rPr>
              <w:t>genetic</w:t>
            </w:r>
            <w:proofErr w:type="spellEnd"/>
            <w:r w:rsidRPr="00650FA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650FA1">
              <w:rPr>
                <w:rFonts w:cstheme="minorHAnsi"/>
                <w:sz w:val="28"/>
                <w:szCs w:val="28"/>
              </w:rPr>
              <w:t>heritage</w:t>
            </w:r>
            <w:proofErr w:type="spellEnd"/>
            <w:r w:rsidRPr="00650FA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650FA1">
              <w:rPr>
                <w:rFonts w:cstheme="minorHAnsi"/>
                <w:sz w:val="28"/>
                <w:szCs w:val="28"/>
              </w:rPr>
              <w:t>from</w:t>
            </w:r>
            <w:proofErr w:type="spellEnd"/>
            <w:r w:rsidRPr="00650FA1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650FA1">
              <w:rPr>
                <w:rFonts w:cstheme="minorHAnsi"/>
                <w:sz w:val="28"/>
                <w:szCs w:val="28"/>
              </w:rPr>
              <w:t>Brazil</w:t>
            </w:r>
            <w:proofErr w:type="spellEnd"/>
          </w:p>
          <w:p w:rsidR="006B12F6" w:rsidRPr="00650FA1" w:rsidRDefault="006B12F6" w:rsidP="006B12F6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650FA1">
              <w:rPr>
                <w:rFonts w:cstheme="minorHAnsi"/>
                <w:sz w:val="28"/>
                <w:szCs w:val="28"/>
              </w:rPr>
              <w:t>CONTAINS BIOLOGICAL MATERIAL WITHOUT COMMERCIAL VALUE</w:t>
            </w:r>
          </w:p>
          <w:p w:rsidR="006B12F6" w:rsidRPr="0032664D" w:rsidRDefault="006B12F6" w:rsidP="006B12F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2664D">
              <w:rPr>
                <w:rFonts w:cstheme="minorHAnsi"/>
                <w:sz w:val="24"/>
                <w:szCs w:val="24"/>
              </w:rPr>
              <w:t>Shipment</w:t>
            </w:r>
            <w:proofErr w:type="spellEnd"/>
            <w:r w:rsidRPr="0032664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2664D">
              <w:rPr>
                <w:rFonts w:cstheme="minorHAnsi"/>
                <w:sz w:val="24"/>
                <w:szCs w:val="24"/>
              </w:rPr>
              <w:t>carried</w:t>
            </w:r>
            <w:proofErr w:type="spellEnd"/>
            <w:r w:rsidRPr="0032664D">
              <w:rPr>
                <w:rFonts w:cstheme="minorHAnsi"/>
                <w:sz w:val="24"/>
                <w:szCs w:val="24"/>
              </w:rPr>
              <w:t xml:space="preserve"> out in </w:t>
            </w:r>
            <w:proofErr w:type="spellStart"/>
            <w:r w:rsidRPr="0032664D">
              <w:rPr>
                <w:rFonts w:cstheme="minorHAnsi"/>
                <w:sz w:val="24"/>
                <w:szCs w:val="24"/>
              </w:rPr>
              <w:t>accordance</w:t>
            </w:r>
            <w:proofErr w:type="spellEnd"/>
            <w:r w:rsidRPr="0032664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2664D">
              <w:rPr>
                <w:rFonts w:cstheme="minorHAnsi"/>
                <w:sz w:val="24"/>
                <w:szCs w:val="24"/>
              </w:rPr>
              <w:t>with</w:t>
            </w:r>
            <w:proofErr w:type="spellEnd"/>
            <w:r w:rsidRPr="0032664D">
              <w:rPr>
                <w:rFonts w:cstheme="minorHAnsi"/>
                <w:sz w:val="24"/>
                <w:szCs w:val="24"/>
              </w:rPr>
              <w:t xml:space="preserve"> Law 13</w:t>
            </w:r>
            <w:r w:rsidR="00650FA1" w:rsidRPr="0032664D">
              <w:rPr>
                <w:rFonts w:cstheme="minorHAnsi"/>
                <w:sz w:val="24"/>
                <w:szCs w:val="24"/>
              </w:rPr>
              <w:t>.</w:t>
            </w:r>
            <w:r w:rsidRPr="0032664D">
              <w:rPr>
                <w:rFonts w:cstheme="minorHAnsi"/>
                <w:sz w:val="24"/>
                <w:szCs w:val="24"/>
              </w:rPr>
              <w:t xml:space="preserve">123/2015 </w:t>
            </w:r>
            <w:proofErr w:type="spellStart"/>
            <w:r w:rsidRPr="0032664D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32664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2664D">
              <w:rPr>
                <w:rFonts w:cstheme="minorHAnsi"/>
                <w:sz w:val="24"/>
                <w:szCs w:val="24"/>
              </w:rPr>
              <w:t>Decree</w:t>
            </w:r>
            <w:proofErr w:type="spellEnd"/>
            <w:r w:rsidRPr="0032664D">
              <w:rPr>
                <w:rFonts w:cstheme="minorHAnsi"/>
                <w:sz w:val="24"/>
                <w:szCs w:val="24"/>
              </w:rPr>
              <w:t xml:space="preserve"> 8772/2016 </w:t>
            </w:r>
            <w:proofErr w:type="spellStart"/>
            <w:r w:rsidRPr="0032664D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32664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2664D">
              <w:rPr>
                <w:rFonts w:cstheme="minorHAnsi"/>
                <w:sz w:val="24"/>
                <w:szCs w:val="24"/>
              </w:rPr>
              <w:t>rules</w:t>
            </w:r>
            <w:proofErr w:type="spellEnd"/>
            <w:r w:rsidRPr="0032664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2664D">
              <w:rPr>
                <w:rFonts w:cstheme="minorHAnsi"/>
                <w:sz w:val="24"/>
                <w:szCs w:val="24"/>
              </w:rPr>
              <w:t>of</w:t>
            </w:r>
            <w:proofErr w:type="spellEnd"/>
            <w:r w:rsidRPr="0032664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2664D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32664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2664D">
              <w:rPr>
                <w:rFonts w:cstheme="minorHAnsi"/>
                <w:sz w:val="24"/>
                <w:szCs w:val="24"/>
              </w:rPr>
              <w:t>Genetic</w:t>
            </w:r>
            <w:proofErr w:type="spellEnd"/>
            <w:r w:rsidRPr="0032664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2664D">
              <w:rPr>
                <w:rFonts w:cstheme="minorHAnsi"/>
                <w:sz w:val="24"/>
                <w:szCs w:val="24"/>
              </w:rPr>
              <w:t>Heritage</w:t>
            </w:r>
            <w:proofErr w:type="spellEnd"/>
            <w:r w:rsidRPr="0032664D">
              <w:rPr>
                <w:rFonts w:cstheme="minorHAnsi"/>
                <w:sz w:val="24"/>
                <w:szCs w:val="24"/>
              </w:rPr>
              <w:t xml:space="preserve"> Management </w:t>
            </w:r>
            <w:proofErr w:type="spellStart"/>
            <w:r w:rsidRPr="0032664D">
              <w:rPr>
                <w:rFonts w:cstheme="minorHAnsi"/>
                <w:sz w:val="24"/>
                <w:szCs w:val="24"/>
              </w:rPr>
              <w:t>Council</w:t>
            </w:r>
            <w:proofErr w:type="spellEnd"/>
            <w:r w:rsidRPr="0032664D">
              <w:rPr>
                <w:rFonts w:cstheme="minorHAnsi"/>
                <w:sz w:val="24"/>
                <w:szCs w:val="24"/>
              </w:rPr>
              <w:t xml:space="preserve"> (CGEN)</w:t>
            </w:r>
          </w:p>
          <w:p w:rsidR="003241A8" w:rsidRDefault="003241A8" w:rsidP="006B12F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6B12F6" w:rsidRPr="0032664D" w:rsidRDefault="006B12F6" w:rsidP="006B1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64D">
              <w:rPr>
                <w:rFonts w:cstheme="minorHAnsi"/>
                <w:sz w:val="24"/>
                <w:szCs w:val="24"/>
              </w:rPr>
              <w:t>http://www.mma.gov.br/patrimonio-genetico</w:t>
            </w:r>
          </w:p>
        </w:tc>
      </w:tr>
    </w:tbl>
    <w:p w:rsidR="002A4FE9" w:rsidRDefault="002A4FE9" w:rsidP="002A4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FE9" w:rsidRPr="002A4FE9" w:rsidRDefault="002A4FE9" w:rsidP="002A4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FE9" w:rsidRPr="00650FA1" w:rsidRDefault="002A4FE9" w:rsidP="002A4FE9">
      <w:pPr>
        <w:spacing w:after="0" w:line="240" w:lineRule="auto"/>
        <w:rPr>
          <w:rFonts w:cstheme="minorHAnsi"/>
          <w:b/>
          <w:sz w:val="24"/>
          <w:szCs w:val="24"/>
        </w:rPr>
      </w:pPr>
      <w:r w:rsidRPr="00650FA1">
        <w:rPr>
          <w:rFonts w:cstheme="minorHAnsi"/>
          <w:b/>
          <w:sz w:val="24"/>
          <w:szCs w:val="24"/>
        </w:rPr>
        <w:t>Documentos que devem acompanhar esta remessa:</w:t>
      </w:r>
    </w:p>
    <w:p w:rsidR="006B12F6" w:rsidRPr="00650FA1" w:rsidRDefault="006B12F6" w:rsidP="006B12F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50FA1">
        <w:rPr>
          <w:rFonts w:cstheme="minorHAnsi"/>
          <w:sz w:val="24"/>
          <w:szCs w:val="24"/>
        </w:rPr>
        <w:t xml:space="preserve">Cópia da Guia de Remessa de Material Biológico, modelo padrão da </w:t>
      </w:r>
      <w:r w:rsidR="00650FA1">
        <w:rPr>
          <w:rFonts w:cstheme="minorHAnsi"/>
          <w:sz w:val="24"/>
          <w:szCs w:val="24"/>
        </w:rPr>
        <w:t>UNIVASF</w:t>
      </w:r>
      <w:r w:rsidRPr="00650FA1">
        <w:rPr>
          <w:rFonts w:cstheme="minorHAnsi"/>
          <w:sz w:val="24"/>
          <w:szCs w:val="24"/>
        </w:rPr>
        <w:t>.</w:t>
      </w:r>
    </w:p>
    <w:p w:rsidR="00650FA1" w:rsidRDefault="002A4FE9" w:rsidP="002A4FE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50FA1">
        <w:rPr>
          <w:rFonts w:cstheme="minorHAnsi"/>
          <w:sz w:val="24"/>
          <w:szCs w:val="24"/>
        </w:rPr>
        <w:t>Se a remessa for enviada ao exterior, enviar</w:t>
      </w:r>
      <w:r w:rsidR="006B12F6" w:rsidRPr="00650FA1">
        <w:rPr>
          <w:rFonts w:cstheme="minorHAnsi"/>
          <w:sz w:val="24"/>
          <w:szCs w:val="24"/>
        </w:rPr>
        <w:t>:</w:t>
      </w:r>
    </w:p>
    <w:p w:rsidR="00650FA1" w:rsidRDefault="006B12F6" w:rsidP="00650FA1">
      <w:pPr>
        <w:pStyle w:val="PargrafodaLista"/>
        <w:spacing w:after="0" w:line="240" w:lineRule="auto"/>
        <w:jc w:val="both"/>
        <w:rPr>
          <w:rFonts w:cstheme="minorHAnsi"/>
          <w:sz w:val="24"/>
          <w:szCs w:val="24"/>
        </w:rPr>
      </w:pPr>
      <w:r w:rsidRPr="00650FA1">
        <w:rPr>
          <w:rFonts w:cstheme="minorHAnsi"/>
          <w:sz w:val="24"/>
          <w:szCs w:val="24"/>
        </w:rPr>
        <w:t xml:space="preserve"> (1)</w:t>
      </w:r>
      <w:r w:rsidR="002A4FE9" w:rsidRPr="00650FA1">
        <w:rPr>
          <w:rFonts w:cstheme="minorHAnsi"/>
          <w:sz w:val="24"/>
          <w:szCs w:val="24"/>
        </w:rPr>
        <w:t xml:space="preserve"> cópia do Cadastro de Remessa no </w:t>
      </w:r>
      <w:proofErr w:type="spellStart"/>
      <w:proofErr w:type="gramStart"/>
      <w:r w:rsidR="002A4FE9" w:rsidRPr="00650FA1">
        <w:rPr>
          <w:rFonts w:cstheme="minorHAnsi"/>
          <w:sz w:val="24"/>
          <w:szCs w:val="24"/>
        </w:rPr>
        <w:t>SisGe</w:t>
      </w:r>
      <w:r w:rsidR="00650FA1">
        <w:rPr>
          <w:rFonts w:cstheme="minorHAnsi"/>
          <w:sz w:val="24"/>
          <w:szCs w:val="24"/>
        </w:rPr>
        <w:t>n</w:t>
      </w:r>
      <w:proofErr w:type="spellEnd"/>
      <w:proofErr w:type="gramEnd"/>
      <w:r w:rsidR="00650FA1">
        <w:rPr>
          <w:rFonts w:cstheme="minorHAnsi"/>
          <w:sz w:val="24"/>
          <w:szCs w:val="24"/>
        </w:rPr>
        <w:t xml:space="preserve">; </w:t>
      </w:r>
    </w:p>
    <w:p w:rsidR="002A4FE9" w:rsidRPr="00650FA1" w:rsidRDefault="006B12F6" w:rsidP="00650FA1">
      <w:pPr>
        <w:pStyle w:val="PargrafodaLista"/>
        <w:spacing w:after="0" w:line="240" w:lineRule="auto"/>
        <w:jc w:val="both"/>
        <w:rPr>
          <w:rFonts w:cstheme="minorHAnsi"/>
          <w:sz w:val="24"/>
          <w:szCs w:val="24"/>
        </w:rPr>
      </w:pPr>
      <w:r w:rsidRPr="00650FA1">
        <w:rPr>
          <w:rFonts w:cstheme="minorHAnsi"/>
          <w:sz w:val="24"/>
          <w:szCs w:val="24"/>
        </w:rPr>
        <w:t>(2) cópia do Termo de Transferência de Material – TTM</w:t>
      </w:r>
      <w:r w:rsidR="00194403" w:rsidRPr="00650FA1">
        <w:rPr>
          <w:rFonts w:cstheme="minorHAnsi"/>
          <w:sz w:val="24"/>
          <w:szCs w:val="24"/>
        </w:rPr>
        <w:t xml:space="preserve">, modelo padrão da </w:t>
      </w:r>
      <w:r w:rsidR="00650FA1">
        <w:rPr>
          <w:rFonts w:cstheme="minorHAnsi"/>
          <w:sz w:val="24"/>
          <w:szCs w:val="24"/>
        </w:rPr>
        <w:t>UNIVASF</w:t>
      </w:r>
      <w:r w:rsidRPr="00650FA1">
        <w:rPr>
          <w:rFonts w:cstheme="minorHAnsi"/>
          <w:sz w:val="24"/>
          <w:szCs w:val="24"/>
        </w:rPr>
        <w:t>.</w:t>
      </w:r>
    </w:p>
    <w:p w:rsidR="0090168E" w:rsidRPr="00650FA1" w:rsidRDefault="0090168E" w:rsidP="002A4FE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50FA1">
        <w:rPr>
          <w:rFonts w:cstheme="minorHAnsi"/>
          <w:sz w:val="24"/>
          <w:szCs w:val="24"/>
        </w:rPr>
        <w:t xml:space="preserve">Caso o material esteja consignado a alguma coleção científica regularmente instituída junto à </w:t>
      </w:r>
      <w:r w:rsidR="00650FA1">
        <w:rPr>
          <w:rFonts w:cstheme="minorHAnsi"/>
          <w:sz w:val="24"/>
          <w:szCs w:val="24"/>
        </w:rPr>
        <w:t>UNIVASF</w:t>
      </w:r>
      <w:r w:rsidRPr="00650FA1">
        <w:rPr>
          <w:rFonts w:cstheme="minorHAnsi"/>
          <w:sz w:val="24"/>
          <w:szCs w:val="24"/>
        </w:rPr>
        <w:t>, anexar cópia da Guia de Remessa de Material da respectiva coleção científica.</w:t>
      </w:r>
    </w:p>
    <w:p w:rsidR="002A4FE9" w:rsidRPr="002A4FE9" w:rsidRDefault="002A4FE9" w:rsidP="002A4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FE9" w:rsidRPr="002A4FE9" w:rsidRDefault="002A4FE9" w:rsidP="002A4F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4FE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A4FE9" w:rsidRPr="002A4FE9" w:rsidRDefault="006B12F6" w:rsidP="00326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64D">
        <w:rPr>
          <w:rFonts w:cstheme="minorHAnsi"/>
          <w:b/>
          <w:sz w:val="24"/>
          <w:szCs w:val="24"/>
        </w:rPr>
        <w:lastRenderedPageBreak/>
        <w:t>Modelo 02.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64D" w:rsidRPr="00650FA1">
        <w:rPr>
          <w:rFonts w:cstheme="minorHAnsi"/>
          <w:sz w:val="24"/>
          <w:szCs w:val="24"/>
        </w:rPr>
        <w:t xml:space="preserve">Etiqueta de advertência a ser afixada no exterior da embalagem contendo amostra de componente do patrimônio genético </w:t>
      </w:r>
      <w:r w:rsidR="0032664D">
        <w:rPr>
          <w:rFonts w:cstheme="minorHAnsi"/>
          <w:sz w:val="24"/>
          <w:szCs w:val="24"/>
        </w:rPr>
        <w:t>em vias de devolução</w:t>
      </w:r>
      <w:r w:rsidR="0032664D" w:rsidRPr="00650FA1">
        <w:rPr>
          <w:rFonts w:cstheme="minorHAnsi"/>
          <w:sz w:val="24"/>
          <w:szCs w:val="24"/>
        </w:rPr>
        <w:t>. Quando pertinente, será acompanhada de etiqueta na versão inglesa, espanhola ou francesa.</w:t>
      </w:r>
    </w:p>
    <w:p w:rsidR="002A4FE9" w:rsidRDefault="002A4FE9" w:rsidP="002A4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0773" w:type="dxa"/>
        <w:tblInd w:w="-459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ook w:val="04A0" w:firstRow="1" w:lastRow="0" w:firstColumn="1" w:lastColumn="0" w:noHBand="0" w:noVBand="1"/>
      </w:tblPr>
      <w:tblGrid>
        <w:gridCol w:w="5446"/>
        <w:gridCol w:w="5327"/>
      </w:tblGrid>
      <w:tr w:rsidR="006B12F6" w:rsidTr="0032664D">
        <w:tc>
          <w:tcPr>
            <w:tcW w:w="5446" w:type="dxa"/>
            <w:vAlign w:val="center"/>
          </w:tcPr>
          <w:p w:rsidR="006B12F6" w:rsidRPr="0032664D" w:rsidRDefault="006B12F6" w:rsidP="006B12F6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32664D">
              <w:rPr>
                <w:rFonts w:cstheme="minorHAnsi"/>
                <w:b/>
                <w:color w:val="FF0000"/>
                <w:sz w:val="28"/>
                <w:szCs w:val="28"/>
              </w:rPr>
              <w:t>ATENÇÃO!</w:t>
            </w:r>
          </w:p>
          <w:p w:rsidR="006B12F6" w:rsidRPr="0032664D" w:rsidRDefault="006B12F6" w:rsidP="006B12F6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32664D">
              <w:rPr>
                <w:rFonts w:cstheme="minorHAnsi"/>
                <w:sz w:val="28"/>
                <w:szCs w:val="28"/>
              </w:rPr>
              <w:t>DEVOLUÇÃO DE AMOSTRA DE PATRIMÔNIO GENÉTICO BRASILEIRO MATERIAL BIOLÓGICO SEM VALOR COMERCIAL</w:t>
            </w:r>
          </w:p>
          <w:p w:rsidR="006B12F6" w:rsidRPr="0032664D" w:rsidRDefault="006B12F6" w:rsidP="006B12F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2664D">
              <w:rPr>
                <w:rFonts w:cstheme="minorHAnsi"/>
                <w:sz w:val="24"/>
                <w:szCs w:val="24"/>
              </w:rPr>
              <w:t>De acordo com a Lei 13</w:t>
            </w:r>
            <w:r w:rsidR="0032664D" w:rsidRPr="0032664D">
              <w:rPr>
                <w:rFonts w:cstheme="minorHAnsi"/>
                <w:sz w:val="24"/>
                <w:szCs w:val="24"/>
              </w:rPr>
              <w:t>.</w:t>
            </w:r>
            <w:r w:rsidRPr="0032664D">
              <w:rPr>
                <w:rFonts w:cstheme="minorHAnsi"/>
                <w:sz w:val="24"/>
                <w:szCs w:val="24"/>
              </w:rPr>
              <w:t>123/2015</w:t>
            </w:r>
            <w:r w:rsidR="00D00661" w:rsidRPr="0032664D">
              <w:rPr>
                <w:rFonts w:cstheme="minorHAnsi"/>
                <w:sz w:val="24"/>
                <w:szCs w:val="24"/>
              </w:rPr>
              <w:t xml:space="preserve">, </w:t>
            </w:r>
            <w:r w:rsidRPr="0032664D">
              <w:rPr>
                <w:rFonts w:cstheme="minorHAnsi"/>
                <w:sz w:val="24"/>
                <w:szCs w:val="24"/>
              </w:rPr>
              <w:t>Decreto 8772/2016 e normas do Conselho de Gestão do Patrimônio Genético (CGEN) do Brasil</w:t>
            </w:r>
            <w:r w:rsidR="00AD3AB6" w:rsidRPr="0032664D">
              <w:rPr>
                <w:rFonts w:cstheme="minorHAnsi"/>
                <w:sz w:val="24"/>
                <w:szCs w:val="24"/>
              </w:rPr>
              <w:t xml:space="preserve"> (vide Resolução CGEN/MMA nº 11/2017).</w:t>
            </w:r>
          </w:p>
          <w:p w:rsidR="0032664D" w:rsidRPr="0032664D" w:rsidRDefault="0032664D" w:rsidP="006B12F6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:rsidR="006B12F6" w:rsidRPr="0032664D" w:rsidRDefault="006B12F6" w:rsidP="006B12F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2664D">
              <w:rPr>
                <w:rFonts w:cstheme="minorHAnsi"/>
                <w:sz w:val="24"/>
                <w:szCs w:val="24"/>
              </w:rPr>
              <w:t>http://www.mma.gov.br/patrimonio-genetico</w:t>
            </w:r>
          </w:p>
        </w:tc>
        <w:tc>
          <w:tcPr>
            <w:tcW w:w="5327" w:type="dxa"/>
            <w:vAlign w:val="center"/>
          </w:tcPr>
          <w:p w:rsidR="006B12F6" w:rsidRPr="0032664D" w:rsidRDefault="006B12F6" w:rsidP="006B12F6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32664D">
              <w:rPr>
                <w:rFonts w:cstheme="minorHAnsi"/>
                <w:b/>
                <w:color w:val="FF0000"/>
                <w:sz w:val="28"/>
                <w:szCs w:val="28"/>
              </w:rPr>
              <w:t>ATTENTION!</w:t>
            </w:r>
          </w:p>
          <w:p w:rsidR="006B12F6" w:rsidRPr="0032664D" w:rsidRDefault="006B12F6" w:rsidP="006B12F6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32664D">
              <w:rPr>
                <w:rFonts w:cstheme="minorHAnsi"/>
                <w:sz w:val="28"/>
                <w:szCs w:val="28"/>
              </w:rPr>
              <w:t>RETURN OF SAMPLE OF BRAZILIAN GENETIC HERITAGE</w:t>
            </w:r>
          </w:p>
          <w:p w:rsidR="006B12F6" w:rsidRPr="0032664D" w:rsidRDefault="006B12F6" w:rsidP="006B12F6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32664D">
              <w:rPr>
                <w:rFonts w:cstheme="minorHAnsi"/>
                <w:sz w:val="28"/>
                <w:szCs w:val="28"/>
              </w:rPr>
              <w:t>BIOLOGICAL MATERIAL WITHOUT COMMERCIAL VALUE</w:t>
            </w:r>
          </w:p>
          <w:p w:rsidR="006B12F6" w:rsidRPr="0032664D" w:rsidRDefault="006B12F6" w:rsidP="006B12F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2664D">
              <w:rPr>
                <w:rFonts w:cstheme="minorHAnsi"/>
                <w:sz w:val="24"/>
                <w:szCs w:val="24"/>
              </w:rPr>
              <w:t>According</w:t>
            </w:r>
            <w:proofErr w:type="spellEnd"/>
            <w:r w:rsidRPr="0032664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2664D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32664D">
              <w:rPr>
                <w:rFonts w:cstheme="minorHAnsi"/>
                <w:sz w:val="24"/>
                <w:szCs w:val="24"/>
              </w:rPr>
              <w:t xml:space="preserve"> Law 13123/2015 </w:t>
            </w:r>
            <w:proofErr w:type="spellStart"/>
            <w:r w:rsidRPr="0032664D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32664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2664D">
              <w:rPr>
                <w:rFonts w:cstheme="minorHAnsi"/>
                <w:sz w:val="24"/>
                <w:szCs w:val="24"/>
              </w:rPr>
              <w:t>Decree</w:t>
            </w:r>
            <w:proofErr w:type="spellEnd"/>
            <w:r w:rsidRPr="0032664D">
              <w:rPr>
                <w:rFonts w:cstheme="minorHAnsi"/>
                <w:sz w:val="24"/>
                <w:szCs w:val="24"/>
              </w:rPr>
              <w:t xml:space="preserve"> 8772/2016 </w:t>
            </w:r>
            <w:proofErr w:type="spellStart"/>
            <w:r w:rsidRPr="0032664D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32664D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32664D">
              <w:rPr>
                <w:rFonts w:cstheme="minorHAnsi"/>
                <w:sz w:val="24"/>
                <w:szCs w:val="24"/>
              </w:rPr>
              <w:t>standards</w:t>
            </w:r>
            <w:proofErr w:type="gramEnd"/>
            <w:r w:rsidRPr="0032664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2664D">
              <w:rPr>
                <w:rFonts w:cstheme="minorHAnsi"/>
                <w:sz w:val="24"/>
                <w:szCs w:val="24"/>
              </w:rPr>
              <w:t>of</w:t>
            </w:r>
            <w:proofErr w:type="spellEnd"/>
            <w:r w:rsidRPr="0032664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2664D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32664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2664D">
              <w:rPr>
                <w:rFonts w:cstheme="minorHAnsi"/>
                <w:sz w:val="24"/>
                <w:szCs w:val="24"/>
              </w:rPr>
              <w:t>Genetic</w:t>
            </w:r>
            <w:proofErr w:type="spellEnd"/>
            <w:r w:rsidRPr="0032664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2664D">
              <w:rPr>
                <w:rFonts w:cstheme="minorHAnsi"/>
                <w:sz w:val="24"/>
                <w:szCs w:val="24"/>
              </w:rPr>
              <w:t>Heritage</w:t>
            </w:r>
            <w:proofErr w:type="spellEnd"/>
            <w:r w:rsidRPr="0032664D">
              <w:rPr>
                <w:rFonts w:cstheme="minorHAnsi"/>
                <w:sz w:val="24"/>
                <w:szCs w:val="24"/>
              </w:rPr>
              <w:t xml:space="preserve"> Management </w:t>
            </w:r>
            <w:proofErr w:type="spellStart"/>
            <w:r w:rsidRPr="0032664D">
              <w:rPr>
                <w:rFonts w:cstheme="minorHAnsi"/>
                <w:sz w:val="24"/>
                <w:szCs w:val="24"/>
              </w:rPr>
              <w:t>Council</w:t>
            </w:r>
            <w:proofErr w:type="spellEnd"/>
            <w:r w:rsidRPr="0032664D">
              <w:rPr>
                <w:rFonts w:cstheme="minorHAnsi"/>
                <w:sz w:val="24"/>
                <w:szCs w:val="24"/>
              </w:rPr>
              <w:t xml:space="preserve"> (CGEN) </w:t>
            </w:r>
            <w:proofErr w:type="spellStart"/>
            <w:r w:rsidRPr="0032664D">
              <w:rPr>
                <w:rFonts w:cstheme="minorHAnsi"/>
                <w:sz w:val="24"/>
                <w:szCs w:val="24"/>
              </w:rPr>
              <w:t>of</w:t>
            </w:r>
            <w:proofErr w:type="spellEnd"/>
            <w:r w:rsidRPr="0032664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2664D">
              <w:rPr>
                <w:rFonts w:cstheme="minorHAnsi"/>
                <w:sz w:val="24"/>
                <w:szCs w:val="24"/>
              </w:rPr>
              <w:t>Brazil</w:t>
            </w:r>
            <w:proofErr w:type="spellEnd"/>
            <w:r w:rsidR="00AD3AB6" w:rsidRPr="0032664D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="00AD3AB6" w:rsidRPr="0032664D">
              <w:rPr>
                <w:rFonts w:cstheme="minorHAnsi"/>
                <w:sz w:val="24"/>
                <w:szCs w:val="24"/>
              </w:rPr>
              <w:t>see</w:t>
            </w:r>
            <w:proofErr w:type="spellEnd"/>
            <w:r w:rsidR="00AD3AB6" w:rsidRPr="0032664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D3AB6" w:rsidRPr="0032664D">
              <w:rPr>
                <w:rFonts w:cstheme="minorHAnsi"/>
                <w:sz w:val="24"/>
                <w:szCs w:val="24"/>
              </w:rPr>
              <w:t>Resolution</w:t>
            </w:r>
            <w:proofErr w:type="spellEnd"/>
            <w:r w:rsidR="00AD3AB6" w:rsidRPr="0032664D">
              <w:rPr>
                <w:rFonts w:cstheme="minorHAnsi"/>
                <w:sz w:val="24"/>
                <w:szCs w:val="24"/>
              </w:rPr>
              <w:t xml:space="preserve"> CGEN/MMA nº 11/2017).</w:t>
            </w:r>
          </w:p>
          <w:p w:rsidR="006B12F6" w:rsidRPr="0032664D" w:rsidRDefault="006B12F6" w:rsidP="006B12F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2664D">
              <w:rPr>
                <w:rFonts w:cstheme="minorHAnsi"/>
                <w:sz w:val="24"/>
                <w:szCs w:val="24"/>
              </w:rPr>
              <w:t>http://www.mma.gov.br/patrimonio-genetico</w:t>
            </w:r>
          </w:p>
        </w:tc>
      </w:tr>
    </w:tbl>
    <w:p w:rsidR="006B12F6" w:rsidRDefault="006B12F6" w:rsidP="002A4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2F6" w:rsidRPr="002A4FE9" w:rsidRDefault="006B12F6" w:rsidP="006B1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2F6" w:rsidRPr="0032664D" w:rsidRDefault="006B12F6" w:rsidP="006B12F6">
      <w:pPr>
        <w:spacing w:after="0" w:line="240" w:lineRule="auto"/>
        <w:rPr>
          <w:rFonts w:cstheme="minorHAnsi"/>
          <w:b/>
          <w:sz w:val="24"/>
          <w:szCs w:val="24"/>
        </w:rPr>
      </w:pPr>
      <w:r w:rsidRPr="0032664D">
        <w:rPr>
          <w:rFonts w:cstheme="minorHAnsi"/>
          <w:b/>
          <w:sz w:val="24"/>
          <w:szCs w:val="24"/>
        </w:rPr>
        <w:t>Documentos que devem acompanhar esta remessa:</w:t>
      </w:r>
    </w:p>
    <w:p w:rsidR="006B12F6" w:rsidRPr="0032664D" w:rsidRDefault="003E34AB" w:rsidP="005C508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32664D">
        <w:rPr>
          <w:rFonts w:cstheme="minorHAnsi"/>
          <w:sz w:val="24"/>
          <w:szCs w:val="24"/>
        </w:rPr>
        <w:t>Conforme Resolução CGEN/MMA nº 11, de 15.08.2017, p</w:t>
      </w:r>
      <w:r w:rsidR="007467D2" w:rsidRPr="0032664D">
        <w:rPr>
          <w:rFonts w:cstheme="minorHAnsi"/>
          <w:sz w:val="24"/>
          <w:szCs w:val="24"/>
        </w:rPr>
        <w:t xml:space="preserve">ara comprovação de que </w:t>
      </w:r>
      <w:r w:rsidR="0032664D">
        <w:rPr>
          <w:rFonts w:cstheme="minorHAnsi"/>
          <w:sz w:val="24"/>
          <w:szCs w:val="24"/>
        </w:rPr>
        <w:t xml:space="preserve">se </w:t>
      </w:r>
      <w:r w:rsidR="007467D2" w:rsidRPr="0032664D">
        <w:rPr>
          <w:rFonts w:cstheme="minorHAnsi"/>
          <w:sz w:val="24"/>
          <w:szCs w:val="24"/>
        </w:rPr>
        <w:t>trata de devolução de amostras de patrimônio genético brasileiro às instituições estrangeiras que as tenham emprestado às instituições nacionais, anexar cópia dos Termos de Transferência de Material (</w:t>
      </w:r>
      <w:proofErr w:type="spellStart"/>
      <w:r w:rsidR="007467D2" w:rsidRPr="0032664D">
        <w:rPr>
          <w:rFonts w:cstheme="minorHAnsi"/>
          <w:sz w:val="24"/>
          <w:szCs w:val="24"/>
        </w:rPr>
        <w:t>TTMs</w:t>
      </w:r>
      <w:proofErr w:type="spellEnd"/>
      <w:r w:rsidR="007467D2" w:rsidRPr="0032664D">
        <w:rPr>
          <w:rFonts w:cstheme="minorHAnsi"/>
          <w:sz w:val="24"/>
          <w:szCs w:val="24"/>
        </w:rPr>
        <w:t>), das Guias de Remessa ou de outros documentos legalmente constituídos à época, que formalizaram o empréstimo e que contenham a identificação das amostras.</w:t>
      </w:r>
    </w:p>
    <w:p w:rsidR="00C40FAF" w:rsidRPr="002A4FE9" w:rsidRDefault="00C40FAF" w:rsidP="002A4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0FAF" w:rsidRPr="002A4FE9" w:rsidSect="006A4B60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BF0" w:rsidRDefault="00513BF0" w:rsidP="002A4FE9">
      <w:pPr>
        <w:spacing w:after="0" w:line="240" w:lineRule="auto"/>
      </w:pPr>
      <w:r>
        <w:separator/>
      </w:r>
    </w:p>
  </w:endnote>
  <w:endnote w:type="continuationSeparator" w:id="0">
    <w:p w:rsidR="00513BF0" w:rsidRDefault="00513BF0" w:rsidP="002A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472"/>
      <w:gridCol w:w="739"/>
    </w:tblGrid>
    <w:tr w:rsidR="00194403" w:rsidTr="00C900DA">
      <w:tc>
        <w:tcPr>
          <w:tcW w:w="8472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uto"/>
          <w:vAlign w:val="center"/>
        </w:tcPr>
        <w:p w:rsidR="00194403" w:rsidRDefault="00650FA1" w:rsidP="00650FA1">
          <w:pPr>
            <w:pStyle w:val="Rodap"/>
            <w:jc w:val="center"/>
          </w:pPr>
          <w:r>
            <w:rPr>
              <w:rFonts w:ascii="Arial" w:hAnsi="Arial"/>
              <w:color w:val="000080"/>
              <w:sz w:val="14"/>
            </w:rPr>
            <w:t>Universidade Federal do Vale do São Francisco</w:t>
          </w:r>
          <w:r w:rsidR="00194403" w:rsidRPr="00807927">
            <w:rPr>
              <w:rFonts w:ascii="Arial" w:hAnsi="Arial"/>
              <w:color w:val="000080"/>
              <w:sz w:val="14"/>
            </w:rPr>
            <w:t xml:space="preserve"> - </w:t>
          </w:r>
          <w:r>
            <w:rPr>
              <w:rFonts w:ascii="Arial" w:hAnsi="Arial"/>
              <w:color w:val="000080"/>
              <w:sz w:val="14"/>
            </w:rPr>
            <w:t>UNIVASF</w:t>
          </w:r>
          <w:r w:rsidR="00194403" w:rsidRPr="00807927">
            <w:rPr>
              <w:rFonts w:ascii="Arial" w:hAnsi="Arial"/>
              <w:color w:val="000080"/>
              <w:sz w:val="14"/>
            </w:rPr>
            <w:t xml:space="preserve">, </w:t>
          </w:r>
          <w:proofErr w:type="spellStart"/>
          <w:r w:rsidR="00194403" w:rsidRPr="00807927">
            <w:rPr>
              <w:rFonts w:ascii="Arial" w:hAnsi="Arial"/>
              <w:color w:val="000080"/>
              <w:sz w:val="14"/>
            </w:rPr>
            <w:t>Pró-Reitoria</w:t>
          </w:r>
          <w:proofErr w:type="spellEnd"/>
          <w:r w:rsidR="00194403" w:rsidRPr="00807927">
            <w:rPr>
              <w:rFonts w:ascii="Arial" w:hAnsi="Arial"/>
              <w:color w:val="000080"/>
              <w:sz w:val="14"/>
            </w:rPr>
            <w:t xml:space="preserve"> de Pesquisa</w:t>
          </w:r>
          <w:r>
            <w:rPr>
              <w:rFonts w:ascii="Arial" w:hAnsi="Arial"/>
              <w:color w:val="000080"/>
              <w:sz w:val="14"/>
            </w:rPr>
            <w:t>, Pós-graduação</w:t>
          </w:r>
          <w:r w:rsidR="00194403" w:rsidRPr="00807927">
            <w:rPr>
              <w:rFonts w:ascii="Arial" w:hAnsi="Arial"/>
              <w:color w:val="000080"/>
              <w:sz w:val="14"/>
            </w:rPr>
            <w:t xml:space="preserve"> e Inovação, Campus </w:t>
          </w:r>
          <w:r>
            <w:rPr>
              <w:rFonts w:ascii="Arial" w:hAnsi="Arial"/>
              <w:color w:val="000080"/>
              <w:sz w:val="14"/>
            </w:rPr>
            <w:t>Sede</w:t>
          </w:r>
          <w:r w:rsidR="00194403" w:rsidRPr="00807927">
            <w:rPr>
              <w:rFonts w:ascii="Arial" w:hAnsi="Arial"/>
              <w:color w:val="000080"/>
              <w:sz w:val="14"/>
            </w:rPr>
            <w:t xml:space="preserve">, </w:t>
          </w:r>
          <w:r w:rsidRPr="00650FA1">
            <w:rPr>
              <w:rFonts w:ascii="Arial" w:hAnsi="Arial"/>
              <w:color w:val="000080"/>
              <w:sz w:val="14"/>
            </w:rPr>
            <w:t>Av. José de Sá Maniçoba, S/N - Centro CEP: 56304-917 - Petrolina/PE</w:t>
          </w:r>
          <w:r>
            <w:rPr>
              <w:rFonts w:ascii="Arial" w:hAnsi="Arial"/>
              <w:color w:val="000080"/>
              <w:sz w:val="14"/>
            </w:rPr>
            <w:t xml:space="preserve">. </w:t>
          </w:r>
          <w:proofErr w:type="gramStart"/>
          <w:r>
            <w:rPr>
              <w:rFonts w:ascii="Arial" w:hAnsi="Arial"/>
              <w:color w:val="000080"/>
              <w:sz w:val="14"/>
            </w:rPr>
            <w:t>E-mail:</w:t>
          </w:r>
          <w:proofErr w:type="gramEnd"/>
          <w:r>
            <w:rPr>
              <w:rFonts w:ascii="Arial" w:hAnsi="Arial"/>
              <w:color w:val="000080"/>
              <w:sz w:val="14"/>
            </w:rPr>
            <w:t>sisgen@univasf.edu.br</w:t>
          </w:r>
          <w:r w:rsidR="00194403" w:rsidRPr="00807927">
            <w:rPr>
              <w:rFonts w:ascii="Arial" w:hAnsi="Arial"/>
              <w:color w:val="000080"/>
              <w:sz w:val="14"/>
            </w:rPr>
            <w:t xml:space="preserve"> | </w:t>
          </w:r>
          <w:r w:rsidRPr="00650FA1">
            <w:rPr>
              <w:rFonts w:ascii="Arial" w:hAnsi="Arial"/>
              <w:color w:val="000080"/>
              <w:sz w:val="14"/>
            </w:rPr>
            <w:t>http://portais.univasf.edu.br/prppgi/pesquisa/sisgen</w:t>
          </w:r>
        </w:p>
      </w:tc>
      <w:tc>
        <w:tcPr>
          <w:tcW w:w="739" w:type="dxa"/>
          <w:tcBorders>
            <w:top w:val="nil"/>
            <w:left w:val="single" w:sz="4" w:space="0" w:color="BFBFBF"/>
            <w:bottom w:val="nil"/>
            <w:right w:val="nil"/>
          </w:tcBorders>
          <w:shd w:val="clear" w:color="auto" w:fill="auto"/>
          <w:vAlign w:val="center"/>
        </w:tcPr>
        <w:p w:rsidR="00194403" w:rsidRPr="002503B1" w:rsidRDefault="00194403" w:rsidP="00194403">
          <w:pPr>
            <w:pStyle w:val="Rodap"/>
            <w:jc w:val="center"/>
            <w:rPr>
              <w:b/>
              <w:sz w:val="18"/>
            </w:rPr>
          </w:pPr>
          <w:r w:rsidRPr="002503B1">
            <w:rPr>
              <w:rFonts w:eastAsia="Times New Roman"/>
              <w:b/>
              <w:sz w:val="20"/>
            </w:rPr>
            <w:t xml:space="preserve">p. </w:t>
          </w:r>
          <w:r w:rsidRPr="002503B1">
            <w:rPr>
              <w:rFonts w:eastAsia="Times New Roman"/>
              <w:b/>
              <w:bCs/>
              <w:sz w:val="20"/>
            </w:rPr>
            <w:fldChar w:fldCharType="begin"/>
          </w:r>
          <w:r w:rsidRPr="002503B1">
            <w:rPr>
              <w:rFonts w:eastAsia="Times New Roman"/>
              <w:b/>
              <w:bCs/>
              <w:sz w:val="20"/>
            </w:rPr>
            <w:instrText>PAGE  \* Arabic  \* MERGEFORMAT</w:instrText>
          </w:r>
          <w:r w:rsidRPr="002503B1">
            <w:rPr>
              <w:rFonts w:eastAsia="Times New Roman"/>
              <w:b/>
              <w:bCs/>
              <w:sz w:val="20"/>
            </w:rPr>
            <w:fldChar w:fldCharType="separate"/>
          </w:r>
          <w:r w:rsidR="00016324">
            <w:rPr>
              <w:rFonts w:eastAsia="Times New Roman"/>
              <w:b/>
              <w:bCs/>
              <w:noProof/>
              <w:sz w:val="20"/>
            </w:rPr>
            <w:t>2</w:t>
          </w:r>
          <w:r w:rsidRPr="002503B1">
            <w:rPr>
              <w:rFonts w:eastAsia="Times New Roman"/>
              <w:b/>
              <w:bCs/>
              <w:sz w:val="20"/>
            </w:rPr>
            <w:fldChar w:fldCharType="end"/>
          </w:r>
          <w:r w:rsidRPr="002503B1">
            <w:rPr>
              <w:rFonts w:eastAsia="Times New Roman"/>
              <w:b/>
              <w:bCs/>
              <w:sz w:val="20"/>
            </w:rPr>
            <w:t>/</w:t>
          </w:r>
          <w:r w:rsidRPr="002503B1">
            <w:rPr>
              <w:rFonts w:eastAsia="Times New Roman"/>
              <w:b/>
              <w:bCs/>
              <w:sz w:val="20"/>
            </w:rPr>
            <w:fldChar w:fldCharType="begin"/>
          </w:r>
          <w:r w:rsidRPr="002503B1">
            <w:rPr>
              <w:rFonts w:eastAsia="Times New Roman"/>
              <w:b/>
              <w:bCs/>
              <w:sz w:val="20"/>
            </w:rPr>
            <w:instrText>NUMPAGES  \* Arabic  \* MERGEFORMAT</w:instrText>
          </w:r>
          <w:r w:rsidRPr="002503B1">
            <w:rPr>
              <w:rFonts w:eastAsia="Times New Roman"/>
              <w:b/>
              <w:bCs/>
              <w:sz w:val="20"/>
            </w:rPr>
            <w:fldChar w:fldCharType="separate"/>
          </w:r>
          <w:r w:rsidR="00016324">
            <w:rPr>
              <w:rFonts w:eastAsia="Times New Roman"/>
              <w:b/>
              <w:bCs/>
              <w:noProof/>
              <w:sz w:val="20"/>
            </w:rPr>
            <w:t>2</w:t>
          </w:r>
          <w:r w:rsidRPr="002503B1">
            <w:rPr>
              <w:rFonts w:eastAsia="Times New Roman"/>
              <w:b/>
              <w:bCs/>
              <w:sz w:val="20"/>
            </w:rPr>
            <w:fldChar w:fldCharType="end"/>
          </w:r>
          <w:r w:rsidRPr="002503B1">
            <w:rPr>
              <w:rFonts w:ascii="Calibri Light" w:eastAsia="Times New Roman" w:hAnsi="Calibri Light"/>
              <w:b/>
              <w:sz w:val="20"/>
              <w:szCs w:val="28"/>
            </w:rPr>
            <w:t xml:space="preserve"> </w:t>
          </w:r>
        </w:p>
      </w:tc>
    </w:tr>
  </w:tbl>
  <w:p w:rsidR="00CB37BA" w:rsidRPr="00194403" w:rsidRDefault="00513BF0" w:rsidP="001944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BF0" w:rsidRDefault="00513BF0" w:rsidP="002A4FE9">
      <w:pPr>
        <w:spacing w:after="0" w:line="240" w:lineRule="auto"/>
      </w:pPr>
      <w:r>
        <w:separator/>
      </w:r>
    </w:p>
  </w:footnote>
  <w:footnote w:type="continuationSeparator" w:id="0">
    <w:p w:rsidR="00513BF0" w:rsidRDefault="00513BF0" w:rsidP="002A4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FE9" w:rsidRDefault="002A4FE9">
    <w:pPr>
      <w:pStyle w:val="Cabealho"/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4"/>
      <w:gridCol w:w="6061"/>
      <w:gridCol w:w="1995"/>
    </w:tblGrid>
    <w:tr w:rsidR="002A4FE9" w:rsidTr="00650FA1">
      <w:trPr>
        <w:trHeight w:val="907"/>
        <w:jc w:val="center"/>
      </w:trPr>
      <w:tc>
        <w:tcPr>
          <w:tcW w:w="1134" w:type="dxa"/>
          <w:vAlign w:val="center"/>
        </w:tcPr>
        <w:p w:rsidR="002A4FE9" w:rsidRDefault="002A4FE9" w:rsidP="002A4FE9">
          <w:pPr>
            <w:tabs>
              <w:tab w:val="left" w:pos="720"/>
              <w:tab w:val="left" w:pos="4102"/>
            </w:tabs>
            <w:snapToGrid w:val="0"/>
            <w:spacing w:after="0" w:line="240" w:lineRule="auto"/>
            <w:jc w:val="center"/>
            <w:rPr>
              <w:b/>
              <w:bCs/>
              <w:color w:val="000080"/>
              <w:sz w:val="10"/>
              <w:szCs w:val="10"/>
            </w:rPr>
          </w:pPr>
        </w:p>
        <w:p w:rsidR="002A4FE9" w:rsidRDefault="002A4FE9" w:rsidP="002A4FE9">
          <w:pPr>
            <w:tabs>
              <w:tab w:val="left" w:pos="4102"/>
            </w:tabs>
            <w:spacing w:after="0" w:line="240" w:lineRule="auto"/>
            <w:jc w:val="center"/>
            <w:rPr>
              <w:b/>
              <w:color w:val="000000"/>
            </w:rPr>
          </w:pPr>
          <w:r w:rsidRPr="004D4D6E">
            <w:rPr>
              <w:noProof/>
              <w:color w:val="000080"/>
              <w:lang w:eastAsia="pt-BR"/>
            </w:rPr>
            <w:drawing>
              <wp:inline distT="0" distB="0" distL="0" distR="0" wp14:anchorId="762BD1FB" wp14:editId="0A237E07">
                <wp:extent cx="647700" cy="6477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1" w:type="dxa"/>
          <w:vAlign w:val="center"/>
        </w:tcPr>
        <w:p w:rsidR="002A4FE9" w:rsidRPr="0032664D" w:rsidRDefault="002A4FE9" w:rsidP="002A4FE9">
          <w:pPr>
            <w:tabs>
              <w:tab w:val="left" w:pos="4102"/>
            </w:tabs>
            <w:snapToGrid w:val="0"/>
            <w:spacing w:after="0" w:line="240" w:lineRule="auto"/>
            <w:jc w:val="center"/>
            <w:rPr>
              <w:rFonts w:cstheme="minorHAnsi"/>
              <w:b/>
              <w:color w:val="000000"/>
              <w:sz w:val="24"/>
            </w:rPr>
          </w:pPr>
          <w:r w:rsidRPr="0032664D">
            <w:rPr>
              <w:rFonts w:cstheme="minorHAnsi"/>
              <w:b/>
              <w:color w:val="000000"/>
              <w:sz w:val="24"/>
            </w:rPr>
            <w:t>MINISTÉRIO DA EDUCAÇÃO</w:t>
          </w:r>
        </w:p>
        <w:p w:rsidR="002A4FE9" w:rsidRPr="0032664D" w:rsidRDefault="002A4FE9" w:rsidP="002A4FE9">
          <w:pPr>
            <w:tabs>
              <w:tab w:val="left" w:pos="4102"/>
            </w:tabs>
            <w:spacing w:after="0" w:line="240" w:lineRule="auto"/>
            <w:jc w:val="center"/>
            <w:rPr>
              <w:rFonts w:cstheme="minorHAnsi"/>
              <w:b/>
              <w:color w:val="000000"/>
              <w:sz w:val="24"/>
            </w:rPr>
          </w:pPr>
          <w:r w:rsidRPr="0032664D">
            <w:rPr>
              <w:rFonts w:cstheme="minorHAnsi"/>
              <w:b/>
              <w:color w:val="000000"/>
              <w:sz w:val="24"/>
            </w:rPr>
            <w:t xml:space="preserve">UNIVERSIDADE FEDERAL DO </w:t>
          </w:r>
          <w:r w:rsidR="00650FA1" w:rsidRPr="0032664D">
            <w:rPr>
              <w:rFonts w:cstheme="minorHAnsi"/>
              <w:b/>
              <w:color w:val="000000"/>
              <w:sz w:val="24"/>
            </w:rPr>
            <w:t>VALE DO SÃO FRANCISCO</w:t>
          </w:r>
        </w:p>
        <w:p w:rsidR="002A4FE9" w:rsidRPr="0013051F" w:rsidRDefault="002A4FE9" w:rsidP="00650FA1">
          <w:pPr>
            <w:tabs>
              <w:tab w:val="left" w:pos="4102"/>
            </w:tabs>
            <w:spacing w:after="0" w:line="240" w:lineRule="auto"/>
            <w:jc w:val="center"/>
            <w:rPr>
              <w:b/>
              <w:color w:val="000000"/>
            </w:rPr>
          </w:pPr>
          <w:r w:rsidRPr="0032664D">
            <w:rPr>
              <w:rFonts w:cstheme="minorHAnsi"/>
              <w:b/>
              <w:color w:val="000000"/>
              <w:sz w:val="24"/>
            </w:rPr>
            <w:t>PRÓ-REITORIA DE PESQUISA</w:t>
          </w:r>
          <w:r w:rsidR="00650FA1" w:rsidRPr="0032664D">
            <w:rPr>
              <w:rFonts w:cstheme="minorHAnsi"/>
              <w:b/>
              <w:color w:val="000000"/>
              <w:sz w:val="24"/>
            </w:rPr>
            <w:t>, PÓS-GRADUAÇÃO,</w:t>
          </w:r>
          <w:r w:rsidRPr="0032664D">
            <w:rPr>
              <w:rFonts w:cstheme="minorHAnsi"/>
              <w:b/>
              <w:color w:val="000000"/>
              <w:sz w:val="24"/>
            </w:rPr>
            <w:t xml:space="preserve"> E </w:t>
          </w:r>
          <w:proofErr w:type="gramStart"/>
          <w:r w:rsidRPr="0032664D">
            <w:rPr>
              <w:rFonts w:cstheme="minorHAnsi"/>
              <w:b/>
              <w:color w:val="000000"/>
              <w:sz w:val="24"/>
            </w:rPr>
            <w:t>INOVAÇÃO</w:t>
          </w:r>
          <w:proofErr w:type="gramEnd"/>
        </w:p>
      </w:tc>
      <w:tc>
        <w:tcPr>
          <w:tcW w:w="1995" w:type="dxa"/>
          <w:vAlign w:val="center"/>
        </w:tcPr>
        <w:p w:rsidR="002A4FE9" w:rsidRDefault="002A4FE9" w:rsidP="002A4FE9">
          <w:pPr>
            <w:tabs>
              <w:tab w:val="left" w:pos="4102"/>
            </w:tabs>
            <w:snapToGrid w:val="0"/>
            <w:spacing w:after="0" w:line="240" w:lineRule="auto"/>
            <w:jc w:val="center"/>
            <w:rPr>
              <w:b/>
              <w:bCs/>
              <w:color w:val="000080"/>
              <w:sz w:val="10"/>
              <w:szCs w:val="10"/>
            </w:rPr>
          </w:pPr>
        </w:p>
        <w:p w:rsidR="002A4FE9" w:rsidRDefault="00650FA1" w:rsidP="002A4FE9">
          <w:pPr>
            <w:tabs>
              <w:tab w:val="left" w:pos="4102"/>
            </w:tabs>
            <w:spacing w:after="0" w:line="240" w:lineRule="aut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7ECB226D" wp14:editId="51F4A037">
                <wp:simplePos x="0" y="0"/>
                <wp:positionH relativeFrom="column">
                  <wp:posOffset>167640</wp:posOffset>
                </wp:positionH>
                <wp:positionV relativeFrom="paragraph">
                  <wp:posOffset>12065</wp:posOffset>
                </wp:positionV>
                <wp:extent cx="1202055" cy="314325"/>
                <wp:effectExtent l="0" t="0" r="0" b="9525"/>
                <wp:wrapTight wrapText="bothSides">
                  <wp:wrapPolygon edited="0">
                    <wp:start x="0" y="0"/>
                    <wp:lineTo x="0" y="20945"/>
                    <wp:lineTo x="21223" y="20945"/>
                    <wp:lineTo x="21223" y="0"/>
                    <wp:lineTo x="0" y="0"/>
                  </wp:wrapPolygon>
                </wp:wrapTight>
                <wp:docPr id="1" name="Imagem 1" descr="logounivasf20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nivasf201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205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037C3C" w:rsidRDefault="00513BF0" w:rsidP="002A4FE9">
    <w:pPr>
      <w:pStyle w:val="Cabealho"/>
      <w:rPr>
        <w:noProof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65282"/>
    <w:multiLevelType w:val="hybridMultilevel"/>
    <w:tmpl w:val="277C1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E9"/>
    <w:rsid w:val="00016324"/>
    <w:rsid w:val="00194403"/>
    <w:rsid w:val="002A4FE9"/>
    <w:rsid w:val="003241A8"/>
    <w:rsid w:val="0032664D"/>
    <w:rsid w:val="003E34AB"/>
    <w:rsid w:val="004234E0"/>
    <w:rsid w:val="00513BF0"/>
    <w:rsid w:val="00650FA1"/>
    <w:rsid w:val="006B12F6"/>
    <w:rsid w:val="007467D2"/>
    <w:rsid w:val="0090168E"/>
    <w:rsid w:val="00A9144B"/>
    <w:rsid w:val="00AD3AB6"/>
    <w:rsid w:val="00B2667B"/>
    <w:rsid w:val="00B95D71"/>
    <w:rsid w:val="00C40FAF"/>
    <w:rsid w:val="00C57EDD"/>
    <w:rsid w:val="00D00661"/>
    <w:rsid w:val="00F1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FE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4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4FE9"/>
  </w:style>
  <w:style w:type="paragraph" w:styleId="Rodap">
    <w:name w:val="footer"/>
    <w:basedOn w:val="Normal"/>
    <w:link w:val="RodapChar"/>
    <w:uiPriority w:val="99"/>
    <w:unhideWhenUsed/>
    <w:rsid w:val="002A4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4FE9"/>
  </w:style>
  <w:style w:type="table" w:styleId="Tabelacomgrade">
    <w:name w:val="Table Grid"/>
    <w:basedOn w:val="Tabelanormal"/>
    <w:uiPriority w:val="39"/>
    <w:rsid w:val="002A4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A4FE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0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FE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4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4FE9"/>
  </w:style>
  <w:style w:type="paragraph" w:styleId="Rodap">
    <w:name w:val="footer"/>
    <w:basedOn w:val="Normal"/>
    <w:link w:val="RodapChar"/>
    <w:uiPriority w:val="99"/>
    <w:unhideWhenUsed/>
    <w:rsid w:val="002A4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4FE9"/>
  </w:style>
  <w:style w:type="table" w:styleId="Tabelacomgrade">
    <w:name w:val="Table Grid"/>
    <w:basedOn w:val="Tabelanormal"/>
    <w:uiPriority w:val="39"/>
    <w:rsid w:val="002A4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A4FE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0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9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16611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38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5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Anônimo</cp:lastModifiedBy>
  <cp:revision>4</cp:revision>
  <dcterms:created xsi:type="dcterms:W3CDTF">2020-07-06T18:02:00Z</dcterms:created>
  <dcterms:modified xsi:type="dcterms:W3CDTF">2020-07-06T20:01:00Z</dcterms:modified>
</cp:coreProperties>
</file>